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80CA8">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合同文本</w:t>
      </w:r>
    </w:p>
    <w:p w14:paraId="4FC056A6">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p>
    <w:p w14:paraId="67E3D061">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p>
    <w:p w14:paraId="1EBFC4F5">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（仅供参考，后续以甲乙双方协商确认）</w:t>
      </w:r>
    </w:p>
    <w:p w14:paraId="12DEEE12">
      <w:pPr>
        <w:pStyle w:val="7"/>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rPr>
      </w:pPr>
    </w:p>
    <w:p w14:paraId="7926646C">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项目</w:t>
      </w:r>
    </w:p>
    <w:p w14:paraId="2A0CA84C">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p>
    <w:p w14:paraId="47627F48">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kern w:val="2"/>
          <w:sz w:val="32"/>
          <w:szCs w:val="32"/>
          <w:lang w:val="en-US" w:eastAsia="zh-CN" w:bidi="ar-SA"/>
        </w:rPr>
      </w:pPr>
    </w:p>
    <w:p w14:paraId="545A5111">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both"/>
        <w:textAlignment w:val="auto"/>
        <w:rPr>
          <w:rFonts w:hint="eastAsia" w:ascii="仿宋" w:hAnsi="仿宋" w:eastAsia="仿宋" w:cs="仿宋"/>
          <w:kern w:val="2"/>
          <w:sz w:val="32"/>
          <w:szCs w:val="32"/>
          <w:lang w:val="en-US" w:eastAsia="zh-CN" w:bidi="ar-SA"/>
        </w:rPr>
      </w:pPr>
    </w:p>
    <w:p w14:paraId="5B30C660">
      <w:pPr>
        <w:keepNext w:val="0"/>
        <w:keepLines w:val="0"/>
        <w:pageBreakBefore w:val="0"/>
        <w:kinsoku/>
        <w:wordWrap/>
        <w:overflowPunct/>
        <w:topLinePunct w:val="0"/>
        <w:autoSpaceDE/>
        <w:autoSpaceDN/>
        <w:bidi w:val="0"/>
        <w:adjustRightInd/>
        <w:snapToGrid/>
        <w:spacing w:line="420" w:lineRule="exact"/>
        <w:ind w:firstLine="803" w:firstLineChars="200"/>
        <w:jc w:val="center"/>
        <w:textAlignment w:val="auto"/>
        <w:rPr>
          <w:rFonts w:hint="eastAsia" w:ascii="仿宋" w:hAnsi="仿宋" w:eastAsia="仿宋" w:cs="仿宋"/>
          <w:b/>
          <w:sz w:val="40"/>
          <w:szCs w:val="40"/>
        </w:rPr>
      </w:pPr>
      <w:r>
        <w:rPr>
          <w:rFonts w:hint="eastAsia" w:ascii="仿宋" w:hAnsi="仿宋" w:eastAsia="仿宋" w:cs="仿宋"/>
          <w:b/>
          <w:sz w:val="40"/>
          <w:szCs w:val="40"/>
        </w:rPr>
        <w:t>合　　同</w:t>
      </w:r>
    </w:p>
    <w:p w14:paraId="392169C2">
      <w:pPr>
        <w:keepNext w:val="0"/>
        <w:keepLines w:val="0"/>
        <w:pageBreakBefore w:val="0"/>
        <w:widowControl w:val="0"/>
        <w:kinsoku/>
        <w:wordWrap/>
        <w:overflowPunct/>
        <w:topLinePunct w:val="0"/>
        <w:autoSpaceDE/>
        <w:autoSpaceDN/>
        <w:bidi w:val="0"/>
        <w:adjustRightInd/>
        <w:snapToGrid/>
        <w:spacing w:line="420" w:lineRule="exact"/>
        <w:ind w:firstLine="800" w:firstLineChars="200"/>
        <w:jc w:val="both"/>
        <w:textAlignment w:val="auto"/>
        <w:rPr>
          <w:rFonts w:hint="eastAsia" w:ascii="仿宋" w:hAnsi="仿宋" w:eastAsia="仿宋" w:cs="仿宋"/>
          <w:kern w:val="2"/>
          <w:sz w:val="40"/>
          <w:szCs w:val="40"/>
          <w:lang w:val="en-US" w:eastAsia="zh-CN" w:bidi="ar-SA"/>
        </w:rPr>
      </w:pPr>
    </w:p>
    <w:p w14:paraId="0730BD99">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both"/>
        <w:textAlignment w:val="auto"/>
        <w:rPr>
          <w:rFonts w:hint="eastAsia" w:ascii="仿宋" w:hAnsi="仿宋" w:eastAsia="仿宋" w:cs="仿宋"/>
          <w:kern w:val="2"/>
          <w:sz w:val="32"/>
          <w:szCs w:val="32"/>
          <w:lang w:val="en-US" w:eastAsia="zh-CN" w:bidi="ar-SA"/>
        </w:rPr>
      </w:pPr>
    </w:p>
    <w:p w14:paraId="18D05CF2">
      <w:pPr>
        <w:pStyle w:val="8"/>
        <w:rPr>
          <w:rFonts w:hint="eastAsia" w:ascii="仿宋" w:hAnsi="仿宋" w:eastAsia="仿宋" w:cs="仿宋"/>
          <w:kern w:val="2"/>
          <w:sz w:val="32"/>
          <w:szCs w:val="32"/>
          <w:lang w:val="en-US" w:eastAsia="zh-CN" w:bidi="ar-SA"/>
        </w:rPr>
      </w:pPr>
    </w:p>
    <w:p w14:paraId="3CCAC53A">
      <w:pPr>
        <w:pStyle w:val="8"/>
        <w:rPr>
          <w:rFonts w:hint="eastAsia" w:ascii="仿宋" w:hAnsi="仿宋" w:eastAsia="仿宋" w:cs="仿宋"/>
          <w:kern w:val="2"/>
          <w:sz w:val="32"/>
          <w:szCs w:val="32"/>
          <w:lang w:val="en-US" w:eastAsia="zh-CN" w:bidi="ar-SA"/>
        </w:rPr>
      </w:pPr>
    </w:p>
    <w:p w14:paraId="603F1DC9">
      <w:pPr>
        <w:pStyle w:val="8"/>
        <w:rPr>
          <w:rFonts w:hint="eastAsia" w:ascii="仿宋" w:hAnsi="仿宋" w:eastAsia="仿宋" w:cs="仿宋"/>
          <w:kern w:val="2"/>
          <w:sz w:val="32"/>
          <w:szCs w:val="32"/>
          <w:lang w:val="en-US" w:eastAsia="zh-CN" w:bidi="ar-SA"/>
        </w:rPr>
      </w:pPr>
    </w:p>
    <w:p w14:paraId="1EF284BC">
      <w:pPr>
        <w:pStyle w:val="8"/>
        <w:rPr>
          <w:rFonts w:hint="eastAsia" w:ascii="仿宋" w:hAnsi="仿宋" w:eastAsia="仿宋" w:cs="仿宋"/>
          <w:kern w:val="2"/>
          <w:sz w:val="32"/>
          <w:szCs w:val="32"/>
          <w:lang w:val="en-US" w:eastAsia="zh-CN" w:bidi="ar-SA"/>
        </w:rPr>
      </w:pPr>
    </w:p>
    <w:p w14:paraId="4F697374">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default" w:ascii="仿宋" w:hAnsi="仿宋" w:eastAsia="仿宋" w:cs="仿宋"/>
          <w:sz w:val="36"/>
          <w:szCs w:val="36"/>
          <w:u w:val="single"/>
          <w:lang w:val="en-US" w:eastAsia="zh-CN"/>
        </w:rPr>
      </w:pPr>
      <w:r>
        <w:rPr>
          <w:rFonts w:hint="eastAsia" w:ascii="仿宋" w:hAnsi="仿宋" w:eastAsia="仿宋" w:cs="仿宋"/>
          <w:sz w:val="36"/>
          <w:szCs w:val="36"/>
        </w:rPr>
        <w:t>合同</w:t>
      </w:r>
      <w:r>
        <w:rPr>
          <w:rFonts w:hint="eastAsia" w:ascii="仿宋" w:hAnsi="仿宋" w:eastAsia="仿宋" w:cs="仿宋"/>
          <w:sz w:val="36"/>
          <w:szCs w:val="36"/>
          <w:lang w:val="en-US" w:eastAsia="zh-CN"/>
        </w:rPr>
        <w:t>包</w:t>
      </w:r>
      <w:r>
        <w:rPr>
          <w:rFonts w:hint="eastAsia" w:ascii="仿宋" w:hAnsi="仿宋" w:eastAsia="仿宋" w:cs="仿宋"/>
          <w:sz w:val="36"/>
          <w:szCs w:val="36"/>
        </w:rPr>
        <w:t>号：</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lang w:val="en-US" w:eastAsia="zh-CN"/>
        </w:rPr>
        <w:t xml:space="preserve"> 采购包1   </w:t>
      </w:r>
    </w:p>
    <w:p w14:paraId="038DA642">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47FDFB49">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4BDC7354">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eastAsia" w:ascii="仿宋" w:hAnsi="仿宋" w:eastAsia="仿宋" w:cs="仿宋"/>
          <w:sz w:val="36"/>
          <w:szCs w:val="36"/>
        </w:rPr>
      </w:pPr>
      <w:r>
        <w:rPr>
          <w:rFonts w:hint="eastAsia" w:ascii="仿宋" w:hAnsi="仿宋" w:eastAsia="仿宋" w:cs="仿宋"/>
          <w:sz w:val="36"/>
          <w:szCs w:val="36"/>
        </w:rPr>
        <w:t>甲　　方：</w:t>
      </w:r>
      <w:r>
        <w:rPr>
          <w:rFonts w:hint="eastAsia" w:ascii="仿宋" w:hAnsi="仿宋" w:eastAsia="仿宋" w:cs="仿宋"/>
          <w:sz w:val="36"/>
          <w:szCs w:val="36"/>
          <w:u w:val="single"/>
          <w:lang w:val="en-US" w:eastAsia="zh-CN"/>
        </w:rPr>
        <w:t xml:space="preserve">             </w:t>
      </w: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(采购人名称)</w:t>
      </w:r>
    </w:p>
    <w:p w14:paraId="316F386B">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744A6E38">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09CACA81">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eastAsia" w:ascii="仿宋" w:hAnsi="仿宋" w:eastAsia="仿宋" w:cs="仿宋"/>
          <w:sz w:val="36"/>
          <w:szCs w:val="36"/>
        </w:rPr>
      </w:pPr>
      <w:r>
        <w:rPr>
          <w:rFonts w:hint="eastAsia" w:ascii="仿宋" w:hAnsi="仿宋" w:eastAsia="仿宋" w:cs="仿宋"/>
          <w:sz w:val="36"/>
          <w:szCs w:val="36"/>
        </w:rPr>
        <w:t>乙　　方：</w:t>
      </w:r>
      <w:r>
        <w:rPr>
          <w:rFonts w:hint="eastAsia" w:ascii="仿宋" w:hAnsi="仿宋" w:eastAsia="仿宋" w:cs="仿宋"/>
          <w:sz w:val="36"/>
          <w:szCs w:val="36"/>
          <w:u w:val="single"/>
          <w:lang w:val="en-US" w:eastAsia="zh-CN"/>
        </w:rPr>
        <w:t xml:space="preserve">              </w:t>
      </w:r>
      <w:r>
        <w:rPr>
          <w:rFonts w:hint="eastAsia" w:ascii="仿宋" w:hAnsi="仿宋" w:eastAsia="仿宋" w:cs="仿宋"/>
          <w:sz w:val="36"/>
          <w:szCs w:val="36"/>
        </w:rPr>
        <w:t>(</w:t>
      </w:r>
      <w:r>
        <w:rPr>
          <w:rFonts w:hint="eastAsia" w:ascii="仿宋" w:hAnsi="仿宋" w:eastAsia="仿宋" w:cs="仿宋"/>
          <w:sz w:val="36"/>
          <w:szCs w:val="36"/>
          <w:lang w:eastAsia="zh-CN"/>
        </w:rPr>
        <w:t>供应商</w:t>
      </w:r>
      <w:r>
        <w:rPr>
          <w:rFonts w:hint="eastAsia" w:ascii="仿宋" w:hAnsi="仿宋" w:eastAsia="仿宋" w:cs="仿宋"/>
          <w:sz w:val="36"/>
          <w:szCs w:val="36"/>
        </w:rPr>
        <w:t>名称)</w:t>
      </w:r>
    </w:p>
    <w:p w14:paraId="4E8F4C8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t>根据《中华人民共和国政府采购法》、《中华人民共和国民法典》等有关法律法规规定，</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(采购人名称)(以下简称：“甲方”)通过</w:t>
      </w:r>
      <w:r>
        <w:rPr>
          <w:rFonts w:hint="eastAsia" w:ascii="仿宋" w:hAnsi="仿宋" w:eastAsia="仿宋" w:cs="仿宋"/>
          <w:sz w:val="32"/>
          <w:szCs w:val="32"/>
          <w:u w:val="single"/>
          <w:lang w:val="en-US" w:eastAsia="zh-CN"/>
        </w:rPr>
        <w:t xml:space="preserve"> 竞争性谈判 </w:t>
      </w:r>
      <w:r>
        <w:rPr>
          <w:rFonts w:hint="eastAsia" w:ascii="仿宋" w:hAnsi="仿宋" w:eastAsia="仿宋" w:cs="仿宋"/>
          <w:sz w:val="32"/>
          <w:szCs w:val="32"/>
        </w:rPr>
        <w:t>采购(采购方式)确定</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供应商</w:t>
      </w:r>
      <w:r>
        <w:rPr>
          <w:rFonts w:hint="eastAsia" w:ascii="仿宋" w:hAnsi="仿宋" w:eastAsia="仿宋" w:cs="仿宋"/>
          <w:sz w:val="32"/>
          <w:szCs w:val="32"/>
        </w:rPr>
        <w:t>名称)(以下简称：“乙方”)为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(项目名称)</w:t>
      </w:r>
      <w:r>
        <w:rPr>
          <w:rFonts w:hint="eastAsia" w:ascii="仿宋" w:hAnsi="仿宋" w:eastAsia="仿宋" w:cs="仿宋"/>
          <w:sz w:val="32"/>
          <w:szCs w:val="32"/>
          <w:u w:val="none"/>
          <w:lang w:val="en-US" w:eastAsia="zh-CN"/>
        </w:rPr>
        <w:t>（包号）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的成交</w:t>
      </w:r>
      <w:r>
        <w:rPr>
          <w:rFonts w:hint="eastAsia" w:ascii="仿宋" w:hAnsi="仿宋" w:eastAsia="仿宋" w:cs="仿宋"/>
          <w:kern w:val="0"/>
          <w:sz w:val="32"/>
          <w:szCs w:val="32"/>
          <w:lang w:eastAsia="zh-CN"/>
        </w:rPr>
        <w:t>供应商</w:t>
      </w:r>
      <w:r>
        <w:rPr>
          <w:rFonts w:hint="eastAsia" w:ascii="仿宋" w:hAnsi="仿宋" w:eastAsia="仿宋" w:cs="仿宋"/>
          <w:sz w:val="32"/>
          <w:szCs w:val="32"/>
        </w:rPr>
        <w:t>。甲乙双方同意签署</w:t>
      </w:r>
      <w:r>
        <w:rPr>
          <w:rFonts w:hint="eastAsia" w:ascii="仿宋" w:hAnsi="仿宋" w:eastAsia="仿宋" w:cs="仿宋"/>
          <w:sz w:val="32"/>
          <w:szCs w:val="32"/>
          <w:lang w:val="en-US" w:eastAsia="zh-CN"/>
        </w:rPr>
        <w:t>本项目合同。</w:t>
      </w:r>
      <w:r>
        <w:rPr>
          <w:rFonts w:hint="eastAsia" w:ascii="仿宋" w:hAnsi="仿宋" w:eastAsia="仿宋" w:cs="仿宋"/>
          <w:sz w:val="32"/>
          <w:szCs w:val="32"/>
        </w:rPr>
        <w:t>(合同编号：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，以下简称：“合同”)。</w:t>
      </w:r>
    </w:p>
    <w:p w14:paraId="13322000">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合同文件</w:t>
      </w:r>
    </w:p>
    <w:p w14:paraId="7556C7A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下列文件是构成本合同不可分割的部分：</w:t>
      </w:r>
    </w:p>
    <w:p w14:paraId="7722D80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 合同条款；</w:t>
      </w:r>
    </w:p>
    <w:p w14:paraId="3FBC00C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lang w:eastAsia="zh-CN"/>
        </w:rPr>
        <w:t>成交通知书</w:t>
      </w:r>
      <w:r>
        <w:rPr>
          <w:rFonts w:hint="eastAsia" w:ascii="仿宋" w:hAnsi="仿宋" w:eastAsia="仿宋" w:cs="仿宋"/>
          <w:sz w:val="32"/>
          <w:szCs w:val="32"/>
        </w:rPr>
        <w:t>；</w:t>
      </w:r>
    </w:p>
    <w:p w14:paraId="043C3A5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(3) </w:t>
      </w:r>
      <w:r>
        <w:rPr>
          <w:rFonts w:hint="eastAsia" w:ascii="仿宋" w:hAnsi="仿宋" w:eastAsia="仿宋" w:cs="仿宋"/>
          <w:sz w:val="32"/>
          <w:szCs w:val="32"/>
          <w:lang w:eastAsia="zh-CN"/>
        </w:rPr>
        <w:t>谈判文件</w:t>
      </w:r>
      <w:r>
        <w:rPr>
          <w:rFonts w:hint="eastAsia" w:ascii="仿宋" w:hAnsi="仿宋" w:eastAsia="仿宋" w:cs="仿宋"/>
          <w:sz w:val="32"/>
          <w:szCs w:val="32"/>
        </w:rPr>
        <w:t>；</w:t>
      </w:r>
    </w:p>
    <w:p w14:paraId="0E2A50BD">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(4) </w:t>
      </w:r>
      <w:r>
        <w:rPr>
          <w:rFonts w:hint="eastAsia" w:ascii="仿宋" w:hAnsi="仿宋" w:eastAsia="仿宋" w:cs="仿宋"/>
          <w:sz w:val="32"/>
          <w:szCs w:val="32"/>
          <w:lang w:eastAsia="zh-CN"/>
        </w:rPr>
        <w:t>响应文件</w:t>
      </w:r>
      <w:r>
        <w:rPr>
          <w:rFonts w:hint="eastAsia" w:ascii="仿宋" w:hAnsi="仿宋" w:eastAsia="仿宋" w:cs="仿宋"/>
          <w:sz w:val="32"/>
          <w:szCs w:val="32"/>
        </w:rPr>
        <w:t>；</w:t>
      </w:r>
    </w:p>
    <w:p w14:paraId="2BF1FC1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 其他(根据实际情况需要增加的内容)。</w:t>
      </w:r>
    </w:p>
    <w:p w14:paraId="45E118D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组成合同的各项文件应互相解释，互为说明。合同文件的解释优先顺序以上述文件先后顺序为准。</w:t>
      </w:r>
    </w:p>
    <w:p w14:paraId="0E1F0E5A">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合同主要标的及数量</w:t>
      </w:r>
    </w:p>
    <w:p w14:paraId="0350E98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乙方应按照合同的规定，提供本项目《招标(采购)文件》中有关要求的产品及服务，包括但不限于以下内容：</w:t>
      </w:r>
    </w:p>
    <w:tbl>
      <w:tblPr>
        <w:tblStyle w:val="9"/>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455"/>
        <w:gridCol w:w="2332"/>
        <w:gridCol w:w="1500"/>
        <w:gridCol w:w="1140"/>
        <w:gridCol w:w="1035"/>
        <w:gridCol w:w="893"/>
      </w:tblGrid>
      <w:tr w14:paraId="295F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45" w:type="dxa"/>
            <w:vAlign w:val="center"/>
          </w:tcPr>
          <w:p w14:paraId="1C0C0E5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455" w:type="dxa"/>
            <w:vAlign w:val="center"/>
          </w:tcPr>
          <w:p w14:paraId="199DAA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货物名称</w:t>
            </w:r>
          </w:p>
        </w:tc>
        <w:tc>
          <w:tcPr>
            <w:tcW w:w="2332" w:type="dxa"/>
            <w:vAlign w:val="center"/>
          </w:tcPr>
          <w:p w14:paraId="2EC5FD19">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生产厂家</w:t>
            </w:r>
          </w:p>
        </w:tc>
        <w:tc>
          <w:tcPr>
            <w:tcW w:w="1500" w:type="dxa"/>
            <w:vAlign w:val="center"/>
          </w:tcPr>
          <w:p w14:paraId="4D1E2C4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数量</w:t>
            </w:r>
          </w:p>
        </w:tc>
        <w:tc>
          <w:tcPr>
            <w:tcW w:w="1140" w:type="dxa"/>
            <w:vAlign w:val="center"/>
          </w:tcPr>
          <w:p w14:paraId="3EEDA0A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单价</w:t>
            </w:r>
          </w:p>
        </w:tc>
        <w:tc>
          <w:tcPr>
            <w:tcW w:w="1035" w:type="dxa"/>
            <w:vAlign w:val="center"/>
          </w:tcPr>
          <w:p w14:paraId="61BCAE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小计</w:t>
            </w:r>
          </w:p>
        </w:tc>
        <w:tc>
          <w:tcPr>
            <w:tcW w:w="893" w:type="dxa"/>
            <w:vAlign w:val="center"/>
          </w:tcPr>
          <w:p w14:paraId="71014DC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备注</w:t>
            </w:r>
          </w:p>
        </w:tc>
      </w:tr>
      <w:tr w14:paraId="215D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45" w:type="dxa"/>
            <w:vAlign w:val="center"/>
          </w:tcPr>
          <w:p w14:paraId="76169A1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55" w:type="dxa"/>
            <w:vAlign w:val="center"/>
          </w:tcPr>
          <w:p w14:paraId="1ABC508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lang w:val="en-US" w:eastAsia="zh-CN"/>
              </w:rPr>
            </w:pPr>
          </w:p>
        </w:tc>
        <w:tc>
          <w:tcPr>
            <w:tcW w:w="2332" w:type="dxa"/>
            <w:vAlign w:val="center"/>
          </w:tcPr>
          <w:p w14:paraId="7B3FD67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rPr>
            </w:pPr>
          </w:p>
        </w:tc>
        <w:tc>
          <w:tcPr>
            <w:tcW w:w="1500" w:type="dxa"/>
            <w:vAlign w:val="center"/>
          </w:tcPr>
          <w:p w14:paraId="2F6417A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rPr>
            </w:pPr>
          </w:p>
        </w:tc>
        <w:tc>
          <w:tcPr>
            <w:tcW w:w="1140" w:type="dxa"/>
            <w:vAlign w:val="center"/>
          </w:tcPr>
          <w:p w14:paraId="02566AD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sz w:val="28"/>
                <w:szCs w:val="28"/>
                <w:lang w:val="en-US" w:eastAsia="zh-CN"/>
              </w:rPr>
            </w:pPr>
          </w:p>
        </w:tc>
        <w:tc>
          <w:tcPr>
            <w:tcW w:w="1035" w:type="dxa"/>
            <w:vAlign w:val="center"/>
          </w:tcPr>
          <w:p w14:paraId="033DEAF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rPr>
            </w:pPr>
          </w:p>
        </w:tc>
        <w:tc>
          <w:tcPr>
            <w:tcW w:w="893" w:type="dxa"/>
            <w:vAlign w:val="center"/>
          </w:tcPr>
          <w:p w14:paraId="3775615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rPr>
            </w:pPr>
          </w:p>
        </w:tc>
      </w:tr>
      <w:tr w14:paraId="0EBF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45" w:type="dxa"/>
            <w:vAlign w:val="center"/>
          </w:tcPr>
          <w:p w14:paraId="5C39DCC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55" w:type="dxa"/>
            <w:vAlign w:val="center"/>
          </w:tcPr>
          <w:p w14:paraId="25F6541B">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2332" w:type="dxa"/>
            <w:vAlign w:val="center"/>
          </w:tcPr>
          <w:p w14:paraId="651C94D8">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1500" w:type="dxa"/>
            <w:vAlign w:val="center"/>
          </w:tcPr>
          <w:p w14:paraId="78A870E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1140" w:type="dxa"/>
            <w:vAlign w:val="center"/>
          </w:tcPr>
          <w:p w14:paraId="37B08D2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1035" w:type="dxa"/>
            <w:vAlign w:val="center"/>
          </w:tcPr>
          <w:p w14:paraId="507B460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893" w:type="dxa"/>
            <w:vAlign w:val="center"/>
          </w:tcPr>
          <w:p w14:paraId="44CC529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r>
      <w:tr w14:paraId="3EF2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45" w:type="dxa"/>
            <w:vAlign w:val="center"/>
          </w:tcPr>
          <w:p w14:paraId="7ABCFCA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1455" w:type="dxa"/>
            <w:vAlign w:val="center"/>
          </w:tcPr>
          <w:p w14:paraId="63BDA7A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2332" w:type="dxa"/>
            <w:vAlign w:val="center"/>
          </w:tcPr>
          <w:p w14:paraId="45D2311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1500" w:type="dxa"/>
            <w:vAlign w:val="center"/>
          </w:tcPr>
          <w:p w14:paraId="5ED7FD4D">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1140" w:type="dxa"/>
            <w:vAlign w:val="center"/>
          </w:tcPr>
          <w:p w14:paraId="43633194">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1035" w:type="dxa"/>
            <w:vAlign w:val="center"/>
          </w:tcPr>
          <w:p w14:paraId="4B6ECD47">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c>
          <w:tcPr>
            <w:tcW w:w="893" w:type="dxa"/>
            <w:vAlign w:val="center"/>
          </w:tcPr>
          <w:p w14:paraId="197D05C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tc>
      </w:tr>
    </w:tbl>
    <w:p w14:paraId="775D63DD">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合同总金额及付款方式</w:t>
      </w:r>
    </w:p>
    <w:p w14:paraId="5EB564A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合同总金额</w:t>
      </w:r>
    </w:p>
    <w:p w14:paraId="2AB3DF1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本合同总金额为人民币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元(¥</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)。本项目包括但不限于包括图书采购</w:t>
      </w:r>
      <w:r>
        <w:rPr>
          <w:rFonts w:hint="eastAsia" w:ascii="仿宋" w:hAnsi="仿宋" w:eastAsia="仿宋" w:cs="仿宋"/>
          <w:sz w:val="32"/>
          <w:szCs w:val="32"/>
          <w:lang w:val="en-US" w:eastAsia="zh-CN"/>
        </w:rPr>
        <w:t>费</w:t>
      </w:r>
      <w:r>
        <w:rPr>
          <w:rFonts w:hint="eastAsia" w:ascii="仿宋" w:hAnsi="仿宋" w:eastAsia="仿宋" w:cs="仿宋"/>
          <w:sz w:val="32"/>
          <w:szCs w:val="32"/>
        </w:rPr>
        <w:t>、运费、安装上架费、招标代理服务费、售后服务等执行本合同所需要的相关费用。</w:t>
      </w:r>
    </w:p>
    <w:p w14:paraId="3AEF780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付款方式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转账支付。</w:t>
      </w:r>
    </w:p>
    <w:p w14:paraId="0E08E93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（三）付款比例：供货完成并经甲方验收合格，达到付款条件起30个工作日内，支付合同总金额的100</w:t>
      </w:r>
      <w:bookmarkStart w:id="0" w:name="_GoBack"/>
      <w:bookmarkEnd w:id="0"/>
      <w:r>
        <w:rPr>
          <w:rFonts w:hint="eastAsia" w:ascii="仿宋" w:hAnsi="仿宋" w:eastAsia="仿宋" w:cs="仿宋"/>
          <w:sz w:val="32"/>
          <w:szCs w:val="32"/>
          <w:lang w:val="en-US" w:eastAsia="zh-CN"/>
        </w:rPr>
        <w:t>%</w:t>
      </w:r>
      <w:r>
        <w:rPr>
          <w:rFonts w:hint="eastAsia" w:ascii="仿宋_GB2312" w:hAnsi="仿宋_GB2312" w:eastAsia="仿宋_GB2312" w:cs="仿宋_GB2312"/>
          <w:sz w:val="32"/>
          <w:szCs w:val="32"/>
          <w:highlight w:val="none"/>
          <w:lang w:val="en-US" w:eastAsia="zh-CN"/>
        </w:rPr>
        <w:t>。</w:t>
      </w:r>
    </w:p>
    <w:p w14:paraId="39752A6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u w:val="none"/>
          <w:lang w:val="en-US" w:eastAsia="zh-CN"/>
        </w:rPr>
        <w:t>（四）</w:t>
      </w:r>
      <w:r>
        <w:rPr>
          <w:rFonts w:hint="eastAsia" w:ascii="仿宋" w:hAnsi="仿宋" w:eastAsia="仿宋" w:cs="仿宋"/>
          <w:sz w:val="32"/>
          <w:szCs w:val="32"/>
        </w:rPr>
        <w:t>履约保证金</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无  </w:t>
      </w:r>
    </w:p>
    <w:p w14:paraId="4E58CDBF">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产品</w:t>
      </w:r>
      <w:r>
        <w:rPr>
          <w:rFonts w:hint="eastAsia" w:ascii="仿宋" w:hAnsi="仿宋" w:eastAsia="仿宋" w:cs="仿宋"/>
          <w:b/>
          <w:bCs/>
          <w:sz w:val="32"/>
          <w:szCs w:val="32"/>
          <w:lang w:val="en-US" w:eastAsia="zh-CN"/>
        </w:rPr>
        <w:t>交货期和</w:t>
      </w:r>
      <w:r>
        <w:rPr>
          <w:rFonts w:hint="eastAsia" w:ascii="仿宋" w:hAnsi="仿宋" w:eastAsia="仿宋" w:cs="仿宋"/>
          <w:b/>
          <w:bCs/>
          <w:sz w:val="32"/>
          <w:szCs w:val="32"/>
        </w:rPr>
        <w:t>质保期</w:t>
      </w:r>
    </w:p>
    <w:p w14:paraId="6CE32B2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5.1交货期：自合同签订之日起15个日历日完成供货。</w:t>
      </w:r>
    </w:p>
    <w:p w14:paraId="6ECAE6D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5.2</w:t>
      </w:r>
      <w:r>
        <w:rPr>
          <w:rFonts w:hint="eastAsia" w:ascii="仿宋" w:hAnsi="仿宋" w:eastAsia="仿宋" w:cs="仿宋"/>
          <w:sz w:val="32"/>
          <w:szCs w:val="32"/>
          <w:lang w:eastAsia="zh-CN"/>
        </w:rPr>
        <w:t>质保期：产品质保三年。</w:t>
      </w:r>
    </w:p>
    <w:p w14:paraId="2FD309A6">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lang w:eastAsia="zh-CN"/>
        </w:rPr>
        <w:t>、双方的权利和义务</w:t>
      </w:r>
    </w:p>
    <w:p w14:paraId="58F5F4B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（一）甲方的权利与义务</w:t>
      </w:r>
    </w:p>
    <w:p w14:paraId="0F5A6A6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甲方应向乙方提供订购计划（包括教材名称、出版单位、作者、数量等信息资料）。</w:t>
      </w:r>
    </w:p>
    <w:p w14:paraId="287B397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甲方有权要求乙方供货的项目内容符合国家及同行业相关规范，符合国家验收标准，能够通过国家验收。</w:t>
      </w:r>
    </w:p>
    <w:p w14:paraId="557398C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甲方有权要求乙方配合甲方完成所采购项目内容的验收工作。</w:t>
      </w:r>
    </w:p>
    <w:p w14:paraId="6D29E34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 甲方有权要求乙方提供的产品所涉及的第三方权利进行免责。</w:t>
      </w:r>
    </w:p>
    <w:p w14:paraId="7C24382E">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 甲方有义务保证按合同所规定的内容及时间支付乙方相关费用。</w:t>
      </w:r>
    </w:p>
    <w:p w14:paraId="43AC32BA">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 乙方不能按甲方要求及时供货，甲方有单方解除合同的权利。解除合同的同时，甲方有权利与评标报告中排名第二的供应商签订新的供货合同。</w:t>
      </w:r>
    </w:p>
    <w:p w14:paraId="5F60A99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 因乙方原因供货延误，给甲方造成损失或被第三方要求索赔的，乙方应全额承担，包括但不限于向第三方赔偿、行政罚款、处理纠纷产生的律师费、诉讼费、保全费及其他各项费用。</w:t>
      </w:r>
    </w:p>
    <w:p w14:paraId="0C4A0A1E">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 对乙方的加工人员和材料，甲方有权进行审核，审核不合格的甲方有权要求乙方无条件更换，更换时间不能超过24 小时。</w:t>
      </w:r>
    </w:p>
    <w:p w14:paraId="6AC28A5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（二）乙方的权利与义务</w:t>
      </w:r>
    </w:p>
    <w:p w14:paraId="5E54A471">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乙方应按本合同的规定供货，并保证产品全新、符合出厂标准规格、型号、数量、参数等与合同约定完全一致，无任何质量问题。</w:t>
      </w:r>
    </w:p>
    <w:p w14:paraId="580F79FE">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乙方有义务配合甲方参与项目的验收工作，并确保所供货物符合本项目国家现行标准。</w:t>
      </w:r>
    </w:p>
    <w:p w14:paraId="528721E0">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乙方项目负责人为</w:t>
      </w:r>
      <w:r>
        <w:rPr>
          <w:rFonts w:hint="eastAsia" w:ascii="仿宋" w:hAnsi="仿宋" w:eastAsia="仿宋" w:cs="仿宋"/>
          <w:sz w:val="32"/>
          <w:szCs w:val="32"/>
          <w:u w:val="single"/>
        </w:rPr>
        <w:t xml:space="preserve">             （手机:        ）</w:t>
      </w:r>
      <w:r>
        <w:rPr>
          <w:rFonts w:hint="eastAsia" w:ascii="仿宋" w:hAnsi="仿宋" w:eastAsia="仿宋" w:cs="仿宋"/>
          <w:sz w:val="32"/>
          <w:szCs w:val="32"/>
        </w:rPr>
        <w:t>。</w:t>
      </w:r>
    </w:p>
    <w:p w14:paraId="5F188F7E">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乙方必须按照要求</w:t>
      </w:r>
      <w:r>
        <w:rPr>
          <w:rFonts w:hint="eastAsia" w:ascii="仿宋" w:hAnsi="仿宋" w:eastAsia="仿宋" w:cs="仿宋"/>
          <w:sz w:val="32"/>
          <w:szCs w:val="32"/>
          <w:lang w:val="en-US" w:eastAsia="zh-CN"/>
        </w:rPr>
        <w:t>的目录</w:t>
      </w:r>
      <w:r>
        <w:rPr>
          <w:rFonts w:hint="eastAsia" w:ascii="仿宋" w:hAnsi="仿宋" w:eastAsia="仿宋" w:cs="仿宋"/>
          <w:sz w:val="32"/>
          <w:szCs w:val="32"/>
        </w:rPr>
        <w:t>详细准确地制作送货清单（清单随货同行），随书提供图书总清单一份和每包书清单一式两份，总清单上要注明订单号、批次号、本批书种数、册数、分包清单注明该包书的书名、书号、定价、出版社、复本等详细信息，以便于图书的验收。并负责按时、保质、保量地送货上门，并协助甲方准确清点分类、入库和按要求摆放整齐。</w:t>
      </w:r>
    </w:p>
    <w:p w14:paraId="69BE56C5">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乙方产品进场时应充分了解甲方的现场各项管理标准文件，并在进场后全面服从甲方的管理制度、管理细则等。</w:t>
      </w:r>
    </w:p>
    <w:p w14:paraId="644BB794">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遵守</w:t>
      </w:r>
      <w:r>
        <w:rPr>
          <w:rFonts w:hint="eastAsia" w:ascii="仿宋" w:hAnsi="仿宋" w:eastAsia="仿宋" w:cs="仿宋"/>
          <w:sz w:val="32"/>
          <w:szCs w:val="32"/>
          <w:lang w:val="en-US" w:eastAsia="zh-CN"/>
        </w:rPr>
        <w:t>谈判</w:t>
      </w:r>
      <w:r>
        <w:rPr>
          <w:rFonts w:hint="eastAsia" w:ascii="仿宋" w:hAnsi="仿宋" w:eastAsia="仿宋" w:cs="仿宋"/>
          <w:sz w:val="32"/>
          <w:szCs w:val="32"/>
        </w:rPr>
        <w:t>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2CB6B7A2">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按甲方指定地点将货物码放整齐，及时清运过程中产生的垃圾，保持现场整洁。</w:t>
      </w:r>
    </w:p>
    <w:p w14:paraId="386BDC4E">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8</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遵守国家对交通、市容和实施过程中噪音的管理规定。</w:t>
      </w:r>
    </w:p>
    <w:p w14:paraId="04BF3141">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9</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乙方应在收到甲方订购清单后15 日内完成备货，如有缺货等情况的，乙方应在12 小时内以书面形式告知甲方，以便甲方及时协调处理。</w:t>
      </w:r>
    </w:p>
    <w:p w14:paraId="656D8F2E">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10</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对于乙方明确无法按期供货的书籍或乙方逾期超过两日未送达的书籍，甲方有权从其他合法渠道另行订购，因此产生的相关费用及超出的费用由乙方承担。</w:t>
      </w:r>
    </w:p>
    <w:p w14:paraId="3138E0B1">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11</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甲方因计划变动等原因需要调换、补缺或退货时，乙方应当在收到甲方通知后24 小时内完成调换、补缺或者退货。</w:t>
      </w:r>
    </w:p>
    <w:p w14:paraId="6AF61DE2">
      <w:pPr>
        <w:pStyle w:val="7"/>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五、包装和运输</w:t>
      </w:r>
    </w:p>
    <w:p w14:paraId="5B1BAE49">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乙方应当按照甲方的统一计划安排，保证按时、保质保量的将货物运送至甲方指定地点，并负责现场搬运、拆包、入库等。</w:t>
      </w:r>
    </w:p>
    <w:p w14:paraId="44FAB0EB">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乙方应当按照国家标准及甲方要求以防水纸双层打包，因包装不当、防护措施不妥等引起的逾期交货责任、给甲方造成的所有损失及产生的相关费用均由乙方承担。</w:t>
      </w:r>
    </w:p>
    <w:p w14:paraId="3E56D849">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乙方交付甲方的为正式出版社出版的书籍，不能有错页、缺页、漏页、倒装、污损、错误等情况，并完全满足合同约定要求。随书提供图书总清单一份和每包书清单一式两份，总清单上要注明订单号、批次号、本批书种数、册数、码洋，分包清单注明该包书的码洋，书名、书号、定价、出版社、复本等详细信息。送书同时将本批书的编目MARC数据发送到甲方指定地方。</w:t>
      </w:r>
    </w:p>
    <w:p w14:paraId="6E73E470">
      <w:pPr>
        <w:autoSpaceDE w:val="0"/>
        <w:autoSpaceDN w:val="0"/>
        <w:adjustRightInd w:val="0"/>
        <w:snapToGrid w:val="0"/>
        <w:spacing w:line="360" w:lineRule="auto"/>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六</w:t>
      </w:r>
      <w:r>
        <w:rPr>
          <w:rFonts w:hint="eastAsia" w:ascii="仿宋" w:hAnsi="仿宋" w:eastAsia="仿宋" w:cs="仿宋"/>
          <w:b/>
          <w:bCs/>
          <w:sz w:val="32"/>
          <w:szCs w:val="32"/>
          <w:highlight w:val="none"/>
        </w:rPr>
        <w:t>、质量保证</w:t>
      </w:r>
    </w:p>
    <w:p w14:paraId="24B08BF2">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lang w:val="en-US" w:eastAsia="zh-CN"/>
        </w:rPr>
        <w:t xml:space="preserve"> （一）</w:t>
      </w:r>
      <w:r>
        <w:rPr>
          <w:rFonts w:hint="eastAsia" w:ascii="仿宋" w:hAnsi="仿宋" w:eastAsia="仿宋" w:cs="仿宋"/>
          <w:bCs/>
          <w:sz w:val="32"/>
          <w:szCs w:val="32"/>
          <w:highlight w:val="none"/>
        </w:rPr>
        <w:t>乙方必须保证提供的图书为国家正规出版社的正版图书，不得加入盗版图书及其它类型非法出版物。若出现有盗版或其它类型非法出版物，一经查实，甲方将拒付书款，终止合同。同时，乙方承担因此给甲方造成的所有经济损失和法律责任。</w:t>
      </w:r>
    </w:p>
    <w:p w14:paraId="6972674C">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lang w:val="en-US" w:eastAsia="zh-CN"/>
        </w:rPr>
        <w:t>（二）</w:t>
      </w:r>
      <w:r>
        <w:rPr>
          <w:rFonts w:hint="eastAsia" w:ascii="仿宋" w:hAnsi="仿宋" w:eastAsia="仿宋" w:cs="仿宋"/>
          <w:bCs/>
          <w:sz w:val="32"/>
          <w:szCs w:val="32"/>
          <w:highlight w:val="none"/>
        </w:rPr>
        <w:t>乙方所供图书必须与甲方提供的图书</w:t>
      </w:r>
      <w:r>
        <w:rPr>
          <w:rFonts w:hint="eastAsia" w:ascii="仿宋" w:hAnsi="仿宋" w:eastAsia="仿宋" w:cs="仿宋"/>
          <w:bCs/>
          <w:sz w:val="32"/>
          <w:szCs w:val="32"/>
          <w:highlight w:val="none"/>
          <w:lang w:val="en-US" w:eastAsia="zh-CN"/>
        </w:rPr>
        <w:t>目录</w:t>
      </w:r>
      <w:r>
        <w:rPr>
          <w:rFonts w:hint="eastAsia" w:ascii="仿宋" w:hAnsi="仿宋" w:eastAsia="仿宋" w:cs="仿宋"/>
          <w:bCs/>
          <w:sz w:val="32"/>
          <w:szCs w:val="32"/>
          <w:highlight w:val="none"/>
        </w:rPr>
        <w:t>相符，不得更换或</w:t>
      </w:r>
      <w:r>
        <w:rPr>
          <w:rFonts w:hint="eastAsia" w:ascii="仿宋" w:hAnsi="仿宋" w:eastAsia="仿宋" w:cs="仿宋"/>
          <w:bCs/>
          <w:sz w:val="32"/>
          <w:szCs w:val="32"/>
          <w:highlight w:val="none"/>
          <w:lang w:val="en-US" w:eastAsia="zh-CN"/>
        </w:rPr>
        <w:t>替换未在目录内</w:t>
      </w:r>
      <w:r>
        <w:rPr>
          <w:rFonts w:hint="eastAsia" w:ascii="仿宋" w:hAnsi="仿宋" w:eastAsia="仿宋" w:cs="仿宋"/>
          <w:bCs/>
          <w:sz w:val="32"/>
          <w:szCs w:val="32"/>
          <w:highlight w:val="none"/>
        </w:rPr>
        <w:t>的图书，如果出现违例，超出订单以外的图书甲方将不予以付款。</w:t>
      </w:r>
    </w:p>
    <w:p w14:paraId="64B83F9D">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lang w:val="en-US" w:eastAsia="zh-CN"/>
        </w:rPr>
        <w:t>（三）</w:t>
      </w:r>
      <w:r>
        <w:rPr>
          <w:rFonts w:hint="eastAsia" w:ascii="仿宋" w:hAnsi="仿宋" w:eastAsia="仿宋" w:cs="仿宋"/>
          <w:bCs/>
          <w:sz w:val="32"/>
          <w:szCs w:val="32"/>
          <w:highlight w:val="none"/>
        </w:rPr>
        <w:t>在验收图书的过程中，如发现因出版信息、预定信息不完整造成的不适合本馆收藏的，及其他原因造成重订、错订等图书，乙方应保证无条件退货。因包装或运输过程造成的图书质量问题或损失，由乙方负责。乙方需派出人员驻校进行加工，并且费用自理。</w:t>
      </w:r>
    </w:p>
    <w:p w14:paraId="091000FA">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lang w:val="en-US" w:eastAsia="zh-CN"/>
        </w:rPr>
        <w:t>（四）</w:t>
      </w:r>
      <w:r>
        <w:rPr>
          <w:rFonts w:hint="eastAsia" w:ascii="仿宋" w:hAnsi="仿宋" w:eastAsia="仿宋" w:cs="仿宋"/>
          <w:bCs/>
          <w:sz w:val="32"/>
          <w:szCs w:val="32"/>
          <w:highlight w:val="none"/>
        </w:rPr>
        <w:t>对于出现开胶、散页、倒装、缺页、污损等有质量问题的图书，无论加工与否，</w:t>
      </w:r>
      <w:r>
        <w:rPr>
          <w:rFonts w:hint="eastAsia" w:ascii="仿宋" w:hAnsi="仿宋" w:eastAsia="仿宋" w:cs="仿宋"/>
          <w:bCs/>
          <w:sz w:val="32"/>
          <w:szCs w:val="32"/>
          <w:highlight w:val="none"/>
          <w:lang w:val="en-US" w:eastAsia="zh-CN"/>
        </w:rPr>
        <w:t>乙方必须无条件及时退换</w:t>
      </w:r>
      <w:r>
        <w:rPr>
          <w:rFonts w:hint="eastAsia" w:ascii="仿宋" w:hAnsi="仿宋" w:eastAsia="仿宋" w:cs="仿宋"/>
          <w:bCs/>
          <w:sz w:val="32"/>
          <w:szCs w:val="32"/>
          <w:highlight w:val="none"/>
        </w:rPr>
        <w:t>。</w:t>
      </w:r>
    </w:p>
    <w:p w14:paraId="6088E28B">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（五）</w:t>
      </w:r>
      <w:r>
        <w:rPr>
          <w:rFonts w:hint="eastAsia" w:ascii="仿宋" w:hAnsi="仿宋" w:eastAsia="仿宋" w:cs="仿宋"/>
          <w:bCs/>
          <w:sz w:val="32"/>
          <w:szCs w:val="32"/>
          <w:highlight w:val="none"/>
        </w:rPr>
        <w:t>服务期内出现的质量问题由成交单位负责解决并承担所有费用。</w:t>
      </w:r>
    </w:p>
    <w:p w14:paraId="46E6B993">
      <w:pPr>
        <w:autoSpaceDE w:val="0"/>
        <w:autoSpaceDN w:val="0"/>
        <w:adjustRightInd w:val="0"/>
        <w:snapToGrid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、验收</w:t>
      </w:r>
    </w:p>
    <w:p w14:paraId="7F87147A">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乙方在发货之前，应对书籍质量、数量、规格等进行准确和全面检验，并提供书籍出版机构的原始单据、版权声明等。</w:t>
      </w:r>
    </w:p>
    <w:p w14:paraId="034837D1">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甲方将在货物到达指定地点后现场组织验收，甲方的初步验收不作为甲方对乙方质量的认可，亦不作为付款依据。如果货物达不到国家的质量及企业标准或与投标时封存样品不符，甲方有权拒绝接收。</w:t>
      </w:r>
    </w:p>
    <w:p w14:paraId="10D9366A">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乙方在货物到达甲方指定地点后，应安排专人或图书加工人员会同甲方一起对货物进行开包验收，验收过程中如出现开包后图书缺失或损坏等情况，乙方应当在24小时内予以补换或者退货，并承担逾期交货的违约责任。</w:t>
      </w:r>
    </w:p>
    <w:p w14:paraId="5A50869B">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在验收图书的过程中，如发现因出版信息、预定信息不完整造成的不适合本馆收藏的，及其他原因造成重订、错订等图书，乙方应无条件退货并在24小时内办理完退货手续。</w:t>
      </w:r>
    </w:p>
    <w:p w14:paraId="18305AAB">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甲方对</w:t>
      </w:r>
      <w:r>
        <w:rPr>
          <w:rFonts w:hint="eastAsia" w:ascii="仿宋" w:hAnsi="仿宋" w:eastAsia="仿宋" w:cs="仿宋"/>
          <w:sz w:val="32"/>
          <w:szCs w:val="32"/>
          <w:lang w:val="en-US" w:eastAsia="zh-CN"/>
        </w:rPr>
        <w:t>目录内</w:t>
      </w:r>
      <w:r>
        <w:rPr>
          <w:rFonts w:hint="eastAsia" w:ascii="仿宋" w:hAnsi="仿宋" w:eastAsia="仿宋" w:cs="仿宋"/>
          <w:sz w:val="32"/>
          <w:szCs w:val="32"/>
        </w:rPr>
        <w:t>的书籍品种、数量、质量进行核对无误后入库。</w:t>
      </w:r>
    </w:p>
    <w:p w14:paraId="6E192A4B">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w:t>
      </w:r>
      <w:r>
        <w:rPr>
          <w:rFonts w:hint="eastAsia" w:ascii="仿宋" w:hAnsi="仿宋" w:eastAsia="仿宋" w:cs="仿宋"/>
          <w:sz w:val="32"/>
          <w:szCs w:val="32"/>
        </w:rPr>
        <w:t>对于出现开胶、散页、倒装、缺页、污损、模糊不清、开线等有质量问题的图书，无论加工与否，乙方承诺24小时内无条件补换或退货，并承担逾期交货的违约责任。</w:t>
      </w:r>
    </w:p>
    <w:p w14:paraId="27467DC5">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七</w:t>
      </w:r>
      <w:r>
        <w:rPr>
          <w:rFonts w:hint="eastAsia" w:ascii="仿宋" w:hAnsi="仿宋" w:eastAsia="仿宋" w:cs="仿宋"/>
          <w:sz w:val="32"/>
          <w:szCs w:val="32"/>
          <w:lang w:eastAsia="zh-CN"/>
        </w:rPr>
        <w:t>）</w:t>
      </w:r>
      <w:r>
        <w:rPr>
          <w:rFonts w:hint="eastAsia" w:ascii="仿宋" w:hAnsi="仿宋" w:eastAsia="仿宋" w:cs="仿宋"/>
          <w:sz w:val="32"/>
          <w:szCs w:val="32"/>
        </w:rPr>
        <w:t>货物经甲方验收不合格的，乙方必须在接到通知后24小时内完成补换或者退货并通过验收。如经补换后验收仍不合格的，甲方可单方解除合同并提出索赔。</w:t>
      </w:r>
    </w:p>
    <w:p w14:paraId="6816CF8F">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w:t>
      </w:r>
      <w:r>
        <w:rPr>
          <w:rFonts w:hint="eastAsia" w:ascii="仿宋" w:hAnsi="仿宋" w:eastAsia="仿宋" w:cs="仿宋"/>
          <w:bCs/>
          <w:sz w:val="32"/>
          <w:szCs w:val="32"/>
          <w:lang w:val="en-US" w:eastAsia="zh-CN"/>
        </w:rPr>
        <w:t>八</w:t>
      </w:r>
      <w:r>
        <w:rPr>
          <w:rFonts w:hint="eastAsia" w:ascii="仿宋" w:hAnsi="仿宋" w:eastAsia="仿宋" w:cs="仿宋"/>
          <w:bCs/>
          <w:sz w:val="32"/>
          <w:szCs w:val="32"/>
        </w:rPr>
        <w:t>）验收依据：</w:t>
      </w:r>
    </w:p>
    <w:p w14:paraId="6DDCEF9D">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1、本合同及附加文本；</w:t>
      </w:r>
    </w:p>
    <w:p w14:paraId="6FA6A787">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bCs/>
          <w:sz w:val="32"/>
          <w:szCs w:val="32"/>
          <w:lang w:val="en-US" w:eastAsia="zh-CN"/>
        </w:rPr>
        <w:t>谈判</w:t>
      </w:r>
      <w:r>
        <w:rPr>
          <w:rFonts w:hint="eastAsia" w:ascii="仿宋" w:hAnsi="仿宋" w:eastAsia="仿宋" w:cs="仿宋"/>
          <w:bCs/>
          <w:sz w:val="32"/>
          <w:szCs w:val="32"/>
        </w:rPr>
        <w:t>文件、成交供应商的响应文件及澄清（承诺）函；</w:t>
      </w:r>
    </w:p>
    <w:p w14:paraId="2A631AD1">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3、国家相应的标准、规范。</w:t>
      </w:r>
    </w:p>
    <w:p w14:paraId="1F28BECC">
      <w:pPr>
        <w:autoSpaceDE w:val="0"/>
        <w:autoSpaceDN w:val="0"/>
        <w:adjustRightInd w:val="0"/>
        <w:snapToGrid w:val="0"/>
        <w:spacing w:line="360" w:lineRule="auto"/>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八</w:t>
      </w:r>
      <w:r>
        <w:rPr>
          <w:rFonts w:hint="eastAsia" w:ascii="仿宋" w:hAnsi="仿宋" w:eastAsia="仿宋" w:cs="仿宋"/>
          <w:b/>
          <w:bCs w:val="0"/>
          <w:sz w:val="32"/>
          <w:szCs w:val="32"/>
        </w:rPr>
        <w:t>、违约责任</w:t>
      </w:r>
    </w:p>
    <w:p w14:paraId="6B0496B1">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乙方向甲方提供的图书</w:t>
      </w:r>
      <w:r>
        <w:rPr>
          <w:rFonts w:hint="eastAsia" w:ascii="仿宋" w:hAnsi="仿宋" w:eastAsia="仿宋" w:cs="仿宋"/>
          <w:sz w:val="32"/>
          <w:szCs w:val="32"/>
          <w:lang w:val="en-US" w:eastAsia="zh-CN"/>
        </w:rPr>
        <w:t>应为</w:t>
      </w:r>
      <w:r>
        <w:rPr>
          <w:rFonts w:hint="eastAsia" w:ascii="仿宋" w:hAnsi="仿宋" w:eastAsia="仿宋" w:cs="仿宋"/>
          <w:sz w:val="32"/>
          <w:szCs w:val="32"/>
        </w:rPr>
        <w:t>国家正规出版社的正版图书，若出现有盗版或其它类型非法出版物，由此造成的一切法律责任、不良影响均由乙方承担。如给甲方造成了经济损失，乙方应承担该批图</w:t>
      </w:r>
      <w:r>
        <w:rPr>
          <w:rFonts w:hint="eastAsia" w:ascii="仿宋" w:hAnsi="仿宋" w:eastAsia="仿宋" w:cs="仿宋"/>
          <w:sz w:val="32"/>
          <w:szCs w:val="32"/>
          <w:highlight w:val="none"/>
        </w:rPr>
        <w:t>书2倍的</w:t>
      </w:r>
      <w:r>
        <w:rPr>
          <w:rFonts w:hint="eastAsia" w:ascii="仿宋" w:hAnsi="仿宋" w:eastAsia="仿宋" w:cs="仿宋"/>
          <w:sz w:val="32"/>
          <w:szCs w:val="32"/>
        </w:rPr>
        <w:t>违约金，并赔偿甲方的全部损失（包含但不限于罚款、赔偿款及甲方因此支付的诉讼费、律师费、公告费、保全费、交通费等）。同时，甲方有权拒付乙方的一切款项。</w:t>
      </w:r>
    </w:p>
    <w:p w14:paraId="6A3443C6">
      <w:pPr>
        <w:pStyle w:val="7"/>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highlight w:val="none"/>
          <w:lang w:val="en-US" w:eastAsia="zh-CN"/>
        </w:rPr>
        <w:t>（二）</w:t>
      </w:r>
      <w:r>
        <w:rPr>
          <w:rFonts w:hint="eastAsia" w:ascii="仿宋" w:hAnsi="仿宋" w:eastAsia="仿宋" w:cs="仿宋"/>
          <w:sz w:val="32"/>
          <w:szCs w:val="32"/>
          <w:highlight w:val="none"/>
        </w:rPr>
        <w:t>所</w:t>
      </w:r>
      <w:r>
        <w:rPr>
          <w:rFonts w:hint="eastAsia" w:ascii="仿宋" w:hAnsi="仿宋" w:eastAsia="仿宋" w:cs="仿宋"/>
          <w:sz w:val="32"/>
          <w:szCs w:val="32"/>
          <w:highlight w:val="none"/>
          <w:lang w:val="en-US" w:eastAsia="zh-CN"/>
        </w:rPr>
        <w:t>供</w:t>
      </w:r>
      <w:r>
        <w:rPr>
          <w:rFonts w:hint="eastAsia" w:ascii="仿宋" w:hAnsi="仿宋" w:eastAsia="仿宋" w:cs="仿宋"/>
          <w:sz w:val="32"/>
          <w:szCs w:val="32"/>
        </w:rPr>
        <w:t>图书出现任何质量问题，乙方应当无条件更换，乙方收到甲方通知后，拒绝更换的，甲方有权立即终止协议，拒付乙方的一切图书款，同时，乙方应当按照未更换图书价格两倍向甲方支付违约金，如因此给甲方造成损失的，</w:t>
      </w:r>
      <w:r>
        <w:rPr>
          <w:rFonts w:hint="eastAsia" w:ascii="仿宋" w:hAnsi="仿宋" w:eastAsia="仿宋" w:cs="仿宋"/>
          <w:color w:val="auto"/>
          <w:sz w:val="32"/>
          <w:szCs w:val="32"/>
          <w:lang w:val="en-US" w:eastAsia="zh-CN"/>
        </w:rPr>
        <w:t>乙方</w:t>
      </w:r>
      <w:r>
        <w:rPr>
          <w:rFonts w:hint="eastAsia" w:ascii="仿宋" w:hAnsi="仿宋" w:eastAsia="仿宋" w:cs="仿宋"/>
          <w:sz w:val="32"/>
          <w:szCs w:val="32"/>
        </w:rPr>
        <w:t>承担赔偿责任。</w:t>
      </w:r>
    </w:p>
    <w:p w14:paraId="63DFAD4A">
      <w:pPr>
        <w:pStyle w:val="7"/>
        <w:spacing w:line="360" w:lineRule="auto"/>
        <w:ind w:firstLine="640" w:firstLineChars="200"/>
        <w:rPr>
          <w:rFonts w:hint="eastAsia" w:ascii="仿宋" w:hAnsi="仿宋" w:eastAsia="仿宋" w:cs="仿宋"/>
          <w:bCs/>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乙方如未能按照合同约定时间交付图书，每逾期一日，按</w:t>
      </w:r>
      <w:r>
        <w:rPr>
          <w:rFonts w:hint="eastAsia" w:ascii="仿宋" w:hAnsi="仿宋" w:eastAsia="仿宋" w:cs="仿宋"/>
          <w:sz w:val="32"/>
          <w:szCs w:val="32"/>
          <w:lang w:val="en-US" w:eastAsia="zh-CN"/>
        </w:rPr>
        <w:t>逾期未交付图书对应货款金额的0.1%承</w:t>
      </w:r>
      <w:r>
        <w:rPr>
          <w:rFonts w:hint="eastAsia" w:ascii="仿宋" w:hAnsi="仿宋" w:eastAsia="仿宋" w:cs="仿宋"/>
          <w:sz w:val="32"/>
          <w:szCs w:val="32"/>
        </w:rPr>
        <w:t>担违约金；乙方逾期超过</w:t>
      </w:r>
      <w:r>
        <w:rPr>
          <w:rFonts w:hint="eastAsia" w:ascii="仿宋" w:hAnsi="仿宋" w:eastAsia="仿宋" w:cs="仿宋"/>
          <w:sz w:val="32"/>
          <w:szCs w:val="32"/>
          <w:lang w:val="en-US" w:eastAsia="zh-CN"/>
        </w:rPr>
        <w:t>1</w:t>
      </w:r>
      <w:r>
        <w:rPr>
          <w:rFonts w:hint="eastAsia" w:ascii="仿宋" w:hAnsi="仿宋" w:eastAsia="仿宋" w:cs="仿宋"/>
          <w:sz w:val="32"/>
          <w:szCs w:val="32"/>
        </w:rPr>
        <w:t>5 日的，甲方有权解除合同，乙方除应当按照本次甲方订购图书的10%承担违约金外，还应承担因此给甲方造成的全部损失。</w:t>
      </w:r>
    </w:p>
    <w:p w14:paraId="6D773E2F">
      <w:pPr>
        <w:autoSpaceDE w:val="0"/>
        <w:autoSpaceDN w:val="0"/>
        <w:adjustRightInd w:val="0"/>
        <w:snapToGrid w:val="0"/>
        <w:spacing w:line="360" w:lineRule="auto"/>
        <w:ind w:firstLine="643" w:firstLineChars="200"/>
        <w:rPr>
          <w:rFonts w:hint="eastAsia" w:ascii="仿宋" w:hAnsi="仿宋" w:eastAsia="仿宋" w:cs="仿宋"/>
          <w:bCs/>
          <w:sz w:val="32"/>
          <w:szCs w:val="32"/>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、合同争议解决的方式</w:t>
      </w:r>
    </w:p>
    <w:p w14:paraId="215E064D">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（一）本合同在履行过程中发生的争议，由甲、乙双方当事人协商解决，协商不成的按下列第</w:t>
      </w:r>
      <w:r>
        <w:rPr>
          <w:rFonts w:hint="eastAsia" w:ascii="仿宋" w:hAnsi="仿宋" w:eastAsia="仿宋" w:cs="仿宋"/>
          <w:bCs/>
          <w:sz w:val="32"/>
          <w:szCs w:val="32"/>
          <w:u w:val="single"/>
        </w:rPr>
        <w:t xml:space="preserve"> 2 </w:t>
      </w:r>
      <w:r>
        <w:rPr>
          <w:rFonts w:hint="eastAsia" w:ascii="仿宋" w:hAnsi="仿宋" w:eastAsia="仿宋" w:cs="仿宋"/>
          <w:bCs/>
          <w:sz w:val="32"/>
          <w:szCs w:val="32"/>
        </w:rPr>
        <w:t>种方式解决：</w:t>
      </w:r>
    </w:p>
    <w:p w14:paraId="3FE4E005">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1、提交甲方所在地仲裁委员会仲裁；</w:t>
      </w:r>
    </w:p>
    <w:p w14:paraId="2CA7E8C3">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2、依法向甲方所在地人民法院起诉。</w:t>
      </w:r>
    </w:p>
    <w:p w14:paraId="3A90C18B">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（二）因质量问题发生的争议，由国家权威技术单位进行质量鉴定，该鉴定结论为最终结果，甲乙双方应当接受。</w:t>
      </w:r>
    </w:p>
    <w:p w14:paraId="44E635C6">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十、合同生效</w:t>
      </w:r>
    </w:p>
    <w:p w14:paraId="390A2D4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本合同一式肆份，甲方执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份、乙方执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份。在甲、乙方签字盖章后正式生效。</w:t>
      </w:r>
    </w:p>
    <w:p w14:paraId="0C5CE8B0">
      <w:pPr>
        <w:pStyle w:val="5"/>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（二）合同生效后，甲、乙双方须严格执行本合同条款的规定，全面履行合同，违者按《中华人民共和国民法典》的有关规定承担相应责任。</w:t>
      </w:r>
    </w:p>
    <w:p w14:paraId="522A9C16">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（三）本合同如有未尽事宜，甲、乙双方协商解决。</w:t>
      </w:r>
    </w:p>
    <w:p w14:paraId="4FC89F60">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br w:type="page"/>
      </w:r>
    </w:p>
    <w:p w14:paraId="7427491B">
      <w:pPr>
        <w:ind w:firstLine="640" w:firstLineChars="200"/>
        <w:rPr>
          <w:rFonts w:hint="eastAsia" w:ascii="仿宋" w:hAnsi="仿宋" w:eastAsia="仿宋" w:cs="仿宋"/>
          <w:kern w:val="2"/>
          <w:sz w:val="32"/>
          <w:szCs w:val="32"/>
          <w:lang w:val="en-US" w:eastAsia="zh-CN" w:bidi="ar-SA"/>
        </w:rPr>
      </w:pPr>
    </w:p>
    <w:tbl>
      <w:tblPr>
        <w:tblStyle w:val="9"/>
        <w:tblW w:w="9179" w:type="dxa"/>
        <w:jc w:val="center"/>
        <w:tblLayout w:type="fixed"/>
        <w:tblCellMar>
          <w:top w:w="0" w:type="dxa"/>
          <w:left w:w="108" w:type="dxa"/>
          <w:bottom w:w="0" w:type="dxa"/>
          <w:right w:w="108" w:type="dxa"/>
        </w:tblCellMar>
      </w:tblPr>
      <w:tblGrid>
        <w:gridCol w:w="4745"/>
        <w:gridCol w:w="4434"/>
      </w:tblGrid>
      <w:tr w14:paraId="723C26E1">
        <w:tblPrEx>
          <w:tblCellMar>
            <w:top w:w="0" w:type="dxa"/>
            <w:left w:w="108" w:type="dxa"/>
            <w:bottom w:w="0" w:type="dxa"/>
            <w:right w:w="108" w:type="dxa"/>
          </w:tblCellMar>
        </w:tblPrEx>
        <w:trPr>
          <w:trHeight w:val="566" w:hRule="atLeast"/>
          <w:jc w:val="center"/>
        </w:trPr>
        <w:tc>
          <w:tcPr>
            <w:tcW w:w="4745" w:type="dxa"/>
            <w:tcBorders>
              <w:top w:val="single" w:color="auto" w:sz="8" w:space="0"/>
              <w:left w:val="single" w:color="auto" w:sz="8" w:space="0"/>
              <w:bottom w:val="single" w:color="auto" w:sz="8" w:space="0"/>
              <w:right w:val="single" w:color="auto" w:sz="8" w:space="0"/>
            </w:tcBorders>
            <w:vAlign w:val="center"/>
          </w:tcPr>
          <w:p w14:paraId="29F7A20D">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甲  方</w:t>
            </w:r>
          </w:p>
        </w:tc>
        <w:tc>
          <w:tcPr>
            <w:tcW w:w="4434" w:type="dxa"/>
            <w:tcBorders>
              <w:top w:val="single" w:color="auto" w:sz="8" w:space="0"/>
              <w:left w:val="nil"/>
              <w:bottom w:val="single" w:color="auto" w:sz="8" w:space="0"/>
              <w:right w:val="single" w:color="auto" w:sz="8" w:space="0"/>
            </w:tcBorders>
            <w:vAlign w:val="center"/>
          </w:tcPr>
          <w:p w14:paraId="075028B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乙  方</w:t>
            </w:r>
          </w:p>
        </w:tc>
      </w:tr>
      <w:tr w14:paraId="118A2EEF">
        <w:tblPrEx>
          <w:tblCellMar>
            <w:top w:w="0" w:type="dxa"/>
            <w:left w:w="108" w:type="dxa"/>
            <w:bottom w:w="0" w:type="dxa"/>
            <w:right w:w="108" w:type="dxa"/>
          </w:tblCellMar>
        </w:tblPrEx>
        <w:trPr>
          <w:trHeight w:val="623" w:hRule="atLeast"/>
          <w:jc w:val="center"/>
        </w:trPr>
        <w:tc>
          <w:tcPr>
            <w:tcW w:w="4745" w:type="dxa"/>
            <w:tcBorders>
              <w:top w:val="nil"/>
              <w:left w:val="single" w:color="auto" w:sz="8" w:space="0"/>
              <w:bottom w:val="single" w:color="000000" w:sz="8" w:space="0"/>
              <w:right w:val="single" w:color="auto" w:sz="8" w:space="0"/>
            </w:tcBorders>
            <w:vAlign w:val="center"/>
          </w:tcPr>
          <w:p w14:paraId="5BE5B7B5">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（盖章）</w:t>
            </w:r>
          </w:p>
        </w:tc>
        <w:tc>
          <w:tcPr>
            <w:tcW w:w="4434" w:type="dxa"/>
            <w:tcBorders>
              <w:top w:val="nil"/>
              <w:left w:val="nil"/>
              <w:bottom w:val="single" w:color="auto" w:sz="8" w:space="0"/>
              <w:right w:val="single" w:color="auto" w:sz="8" w:space="0"/>
            </w:tcBorders>
            <w:vAlign w:val="center"/>
          </w:tcPr>
          <w:p w14:paraId="32A4143D">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（盖章）</w:t>
            </w:r>
          </w:p>
        </w:tc>
      </w:tr>
      <w:tr w14:paraId="4A629949">
        <w:tblPrEx>
          <w:tblCellMar>
            <w:top w:w="0" w:type="dxa"/>
            <w:left w:w="108" w:type="dxa"/>
            <w:bottom w:w="0" w:type="dxa"/>
            <w:right w:w="108" w:type="dxa"/>
          </w:tblCellMar>
        </w:tblPrEx>
        <w:trPr>
          <w:trHeight w:val="566" w:hRule="atLeast"/>
          <w:jc w:val="center"/>
        </w:trPr>
        <w:tc>
          <w:tcPr>
            <w:tcW w:w="4745" w:type="dxa"/>
            <w:tcBorders>
              <w:top w:val="nil"/>
              <w:left w:val="single" w:color="auto" w:sz="8" w:space="0"/>
              <w:bottom w:val="single" w:color="auto" w:sz="8" w:space="0"/>
              <w:right w:val="single" w:color="auto" w:sz="8" w:space="0"/>
            </w:tcBorders>
            <w:vAlign w:val="center"/>
          </w:tcPr>
          <w:p w14:paraId="2C0055EA">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w:t>
            </w:r>
          </w:p>
        </w:tc>
        <w:tc>
          <w:tcPr>
            <w:tcW w:w="4434" w:type="dxa"/>
            <w:tcBorders>
              <w:top w:val="nil"/>
              <w:left w:val="nil"/>
              <w:bottom w:val="single" w:color="auto" w:sz="8" w:space="0"/>
              <w:right w:val="single" w:color="auto" w:sz="8" w:space="0"/>
            </w:tcBorders>
            <w:vAlign w:val="center"/>
          </w:tcPr>
          <w:p w14:paraId="510FE3AE">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w:t>
            </w:r>
          </w:p>
        </w:tc>
      </w:tr>
      <w:tr w14:paraId="7CCB44A0">
        <w:tblPrEx>
          <w:tblCellMar>
            <w:top w:w="0" w:type="dxa"/>
            <w:left w:w="108" w:type="dxa"/>
            <w:bottom w:w="0" w:type="dxa"/>
            <w:right w:w="108" w:type="dxa"/>
          </w:tblCellMar>
        </w:tblPrEx>
        <w:trPr>
          <w:trHeight w:val="566" w:hRule="atLeast"/>
          <w:jc w:val="center"/>
        </w:trPr>
        <w:tc>
          <w:tcPr>
            <w:tcW w:w="4745" w:type="dxa"/>
            <w:tcBorders>
              <w:top w:val="nil"/>
              <w:left w:val="single" w:color="auto" w:sz="8" w:space="0"/>
              <w:bottom w:val="single" w:color="auto" w:sz="8" w:space="0"/>
              <w:right w:val="single" w:color="auto" w:sz="8" w:space="0"/>
            </w:tcBorders>
            <w:vAlign w:val="center"/>
          </w:tcPr>
          <w:p w14:paraId="5E424D15">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邮编：</w:t>
            </w:r>
          </w:p>
        </w:tc>
        <w:tc>
          <w:tcPr>
            <w:tcW w:w="4434" w:type="dxa"/>
            <w:tcBorders>
              <w:top w:val="nil"/>
              <w:left w:val="nil"/>
              <w:bottom w:val="single" w:color="auto" w:sz="8" w:space="0"/>
              <w:right w:val="single" w:color="auto" w:sz="8" w:space="0"/>
            </w:tcBorders>
            <w:vAlign w:val="center"/>
          </w:tcPr>
          <w:p w14:paraId="18C2CE0A">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邮编：</w:t>
            </w:r>
          </w:p>
        </w:tc>
      </w:tr>
      <w:tr w14:paraId="5AD1AE28">
        <w:tblPrEx>
          <w:tblCellMar>
            <w:top w:w="0" w:type="dxa"/>
            <w:left w:w="108" w:type="dxa"/>
            <w:bottom w:w="0" w:type="dxa"/>
            <w:right w:w="108" w:type="dxa"/>
          </w:tblCellMar>
        </w:tblPrEx>
        <w:trPr>
          <w:trHeight w:val="1439" w:hRule="atLeast"/>
          <w:jc w:val="center"/>
        </w:trPr>
        <w:tc>
          <w:tcPr>
            <w:tcW w:w="4745" w:type="dxa"/>
            <w:tcBorders>
              <w:top w:val="nil"/>
              <w:left w:val="single" w:color="auto" w:sz="8" w:space="0"/>
              <w:bottom w:val="single" w:color="000000" w:sz="8" w:space="0"/>
              <w:right w:val="single" w:color="auto" w:sz="8" w:space="0"/>
            </w:tcBorders>
            <w:vAlign w:val="center"/>
          </w:tcPr>
          <w:p w14:paraId="3DA01E52">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法定代表人或授权</w:t>
            </w:r>
            <w:r>
              <w:rPr>
                <w:rFonts w:hint="eastAsia" w:ascii="仿宋" w:hAnsi="仿宋" w:eastAsia="仿宋" w:cs="仿宋"/>
                <w:kern w:val="0"/>
                <w:sz w:val="32"/>
                <w:szCs w:val="32"/>
              </w:rPr>
              <w:t>代表：</w:t>
            </w:r>
          </w:p>
          <w:p w14:paraId="67E92F85">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（签字</w:t>
            </w:r>
            <w:r>
              <w:rPr>
                <w:rFonts w:hint="eastAsia" w:ascii="仿宋" w:hAnsi="仿宋" w:eastAsia="仿宋" w:cs="仿宋"/>
                <w:kern w:val="0"/>
                <w:sz w:val="32"/>
                <w:szCs w:val="32"/>
                <w:lang w:val="en-US" w:eastAsia="zh-CN"/>
              </w:rPr>
              <w:t>或盖章</w:t>
            </w:r>
            <w:r>
              <w:rPr>
                <w:rFonts w:hint="eastAsia" w:ascii="仿宋" w:hAnsi="仿宋" w:eastAsia="仿宋" w:cs="仿宋"/>
                <w:kern w:val="0"/>
                <w:sz w:val="32"/>
                <w:szCs w:val="32"/>
              </w:rPr>
              <w:t>）</w:t>
            </w:r>
          </w:p>
        </w:tc>
        <w:tc>
          <w:tcPr>
            <w:tcW w:w="4434" w:type="dxa"/>
            <w:tcBorders>
              <w:top w:val="nil"/>
              <w:left w:val="nil"/>
              <w:bottom w:val="single" w:color="auto" w:sz="8" w:space="0"/>
              <w:right w:val="single" w:color="auto" w:sz="8" w:space="0"/>
            </w:tcBorders>
            <w:vAlign w:val="center"/>
          </w:tcPr>
          <w:p w14:paraId="78453AF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法定代表人</w:t>
            </w:r>
            <w:r>
              <w:rPr>
                <w:rFonts w:hint="eastAsia" w:ascii="仿宋" w:hAnsi="仿宋" w:eastAsia="仿宋" w:cs="仿宋"/>
                <w:kern w:val="0"/>
                <w:sz w:val="32"/>
                <w:szCs w:val="32"/>
                <w:lang w:val="en-US" w:eastAsia="zh-CN"/>
              </w:rPr>
              <w:t>或</w:t>
            </w:r>
            <w:r>
              <w:rPr>
                <w:rFonts w:hint="eastAsia" w:ascii="仿宋" w:hAnsi="仿宋" w:eastAsia="仿宋" w:cs="仿宋"/>
                <w:kern w:val="0"/>
                <w:sz w:val="32"/>
                <w:szCs w:val="32"/>
              </w:rPr>
              <w:t>授权代表：</w:t>
            </w:r>
          </w:p>
          <w:p w14:paraId="0F17FA78">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（签字</w:t>
            </w:r>
            <w:r>
              <w:rPr>
                <w:rFonts w:hint="eastAsia" w:ascii="仿宋" w:hAnsi="仿宋" w:eastAsia="仿宋" w:cs="仿宋"/>
                <w:kern w:val="0"/>
                <w:sz w:val="32"/>
                <w:szCs w:val="32"/>
                <w:lang w:val="en-US" w:eastAsia="zh-CN"/>
              </w:rPr>
              <w:t>或盖章</w:t>
            </w:r>
            <w:r>
              <w:rPr>
                <w:rFonts w:hint="eastAsia" w:ascii="仿宋" w:hAnsi="仿宋" w:eastAsia="仿宋" w:cs="仿宋"/>
                <w:kern w:val="0"/>
                <w:sz w:val="32"/>
                <w:szCs w:val="32"/>
              </w:rPr>
              <w:t>）</w:t>
            </w:r>
          </w:p>
        </w:tc>
      </w:tr>
      <w:tr w14:paraId="0D93F4D7">
        <w:tblPrEx>
          <w:tblCellMar>
            <w:top w:w="0" w:type="dxa"/>
            <w:left w:w="108" w:type="dxa"/>
            <w:bottom w:w="0" w:type="dxa"/>
            <w:right w:w="108" w:type="dxa"/>
          </w:tblCellMar>
        </w:tblPrEx>
        <w:trPr>
          <w:trHeight w:val="566" w:hRule="atLeast"/>
          <w:jc w:val="center"/>
        </w:trPr>
        <w:tc>
          <w:tcPr>
            <w:tcW w:w="4745" w:type="dxa"/>
            <w:tcBorders>
              <w:top w:val="nil"/>
              <w:left w:val="single" w:color="auto" w:sz="8" w:space="0"/>
              <w:bottom w:val="single" w:color="auto" w:sz="8" w:space="0"/>
              <w:right w:val="single" w:color="auto" w:sz="8" w:space="0"/>
            </w:tcBorders>
            <w:vAlign w:val="center"/>
          </w:tcPr>
          <w:p w14:paraId="22E6EF32">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电话：</w:t>
            </w:r>
          </w:p>
        </w:tc>
        <w:tc>
          <w:tcPr>
            <w:tcW w:w="4434" w:type="dxa"/>
            <w:tcBorders>
              <w:top w:val="nil"/>
              <w:left w:val="nil"/>
              <w:bottom w:val="single" w:color="auto" w:sz="8" w:space="0"/>
              <w:right w:val="single" w:color="auto" w:sz="8" w:space="0"/>
            </w:tcBorders>
            <w:vAlign w:val="center"/>
          </w:tcPr>
          <w:p w14:paraId="64E9AD55">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电话：</w:t>
            </w:r>
          </w:p>
        </w:tc>
      </w:tr>
      <w:tr w14:paraId="6541168E">
        <w:tblPrEx>
          <w:tblCellMar>
            <w:top w:w="0" w:type="dxa"/>
            <w:left w:w="108" w:type="dxa"/>
            <w:bottom w:w="0" w:type="dxa"/>
            <w:right w:w="108" w:type="dxa"/>
          </w:tblCellMar>
        </w:tblPrEx>
        <w:trPr>
          <w:trHeight w:val="566" w:hRule="atLeast"/>
          <w:jc w:val="center"/>
        </w:trPr>
        <w:tc>
          <w:tcPr>
            <w:tcW w:w="4745" w:type="dxa"/>
            <w:vMerge w:val="restart"/>
            <w:tcBorders>
              <w:top w:val="nil"/>
              <w:left w:val="single" w:color="auto" w:sz="8" w:space="0"/>
              <w:bottom w:val="single" w:color="000000" w:sz="8" w:space="0"/>
              <w:right w:val="single" w:color="auto" w:sz="8" w:space="0"/>
            </w:tcBorders>
            <w:vAlign w:val="center"/>
          </w:tcPr>
          <w:p w14:paraId="13D17CE2">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传真：</w:t>
            </w:r>
          </w:p>
        </w:tc>
        <w:tc>
          <w:tcPr>
            <w:tcW w:w="4434" w:type="dxa"/>
            <w:tcBorders>
              <w:top w:val="nil"/>
              <w:left w:val="nil"/>
              <w:bottom w:val="single" w:color="auto" w:sz="8" w:space="0"/>
              <w:right w:val="single" w:color="auto" w:sz="8" w:space="0"/>
            </w:tcBorders>
            <w:vAlign w:val="center"/>
          </w:tcPr>
          <w:p w14:paraId="3B8EA44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传真：</w:t>
            </w:r>
          </w:p>
        </w:tc>
      </w:tr>
      <w:tr w14:paraId="2D950DEF">
        <w:tblPrEx>
          <w:tblCellMar>
            <w:top w:w="0" w:type="dxa"/>
            <w:left w:w="108" w:type="dxa"/>
            <w:bottom w:w="0" w:type="dxa"/>
            <w:right w:w="108" w:type="dxa"/>
          </w:tblCellMar>
        </w:tblPrEx>
        <w:trPr>
          <w:trHeight w:val="566" w:hRule="atLeast"/>
          <w:jc w:val="center"/>
        </w:trPr>
        <w:tc>
          <w:tcPr>
            <w:tcW w:w="4745" w:type="dxa"/>
            <w:vMerge w:val="continue"/>
            <w:tcBorders>
              <w:top w:val="nil"/>
              <w:left w:val="single" w:color="auto" w:sz="8" w:space="0"/>
              <w:bottom w:val="single" w:color="000000" w:sz="8" w:space="0"/>
              <w:right w:val="single" w:color="auto" w:sz="8" w:space="0"/>
            </w:tcBorders>
            <w:vAlign w:val="center"/>
          </w:tcPr>
          <w:p w14:paraId="6E78D1CF">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p>
        </w:tc>
        <w:tc>
          <w:tcPr>
            <w:tcW w:w="4434" w:type="dxa"/>
            <w:tcBorders>
              <w:top w:val="nil"/>
              <w:left w:val="nil"/>
              <w:bottom w:val="single" w:color="auto" w:sz="8" w:space="0"/>
              <w:right w:val="single" w:color="auto" w:sz="8" w:space="0"/>
            </w:tcBorders>
            <w:vAlign w:val="center"/>
          </w:tcPr>
          <w:p w14:paraId="5F3EAB1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开户银行：</w:t>
            </w:r>
          </w:p>
        </w:tc>
      </w:tr>
      <w:tr w14:paraId="2C3AB87D">
        <w:tblPrEx>
          <w:tblCellMar>
            <w:top w:w="0" w:type="dxa"/>
            <w:left w:w="108" w:type="dxa"/>
            <w:bottom w:w="0" w:type="dxa"/>
            <w:right w:w="108" w:type="dxa"/>
          </w:tblCellMar>
        </w:tblPrEx>
        <w:trPr>
          <w:trHeight w:val="566" w:hRule="atLeast"/>
          <w:jc w:val="center"/>
        </w:trPr>
        <w:tc>
          <w:tcPr>
            <w:tcW w:w="4745" w:type="dxa"/>
            <w:vMerge w:val="continue"/>
            <w:tcBorders>
              <w:top w:val="nil"/>
              <w:left w:val="single" w:color="auto" w:sz="8" w:space="0"/>
              <w:bottom w:val="single" w:color="000000" w:sz="8" w:space="0"/>
              <w:right w:val="single" w:color="auto" w:sz="8" w:space="0"/>
            </w:tcBorders>
            <w:vAlign w:val="center"/>
          </w:tcPr>
          <w:p w14:paraId="7A5A6D9E">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p>
        </w:tc>
        <w:tc>
          <w:tcPr>
            <w:tcW w:w="4434" w:type="dxa"/>
            <w:tcBorders>
              <w:top w:val="nil"/>
              <w:left w:val="nil"/>
              <w:bottom w:val="single" w:color="auto" w:sz="8" w:space="0"/>
              <w:right w:val="single" w:color="auto" w:sz="8" w:space="0"/>
            </w:tcBorders>
            <w:vAlign w:val="center"/>
          </w:tcPr>
          <w:p w14:paraId="0239EA3C">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账号:</w:t>
            </w:r>
          </w:p>
        </w:tc>
      </w:tr>
      <w:tr w14:paraId="3A1FA468">
        <w:tblPrEx>
          <w:tblCellMar>
            <w:top w:w="0" w:type="dxa"/>
            <w:left w:w="108" w:type="dxa"/>
            <w:bottom w:w="0" w:type="dxa"/>
            <w:right w:w="108" w:type="dxa"/>
          </w:tblCellMar>
        </w:tblPrEx>
        <w:trPr>
          <w:trHeight w:val="592" w:hRule="atLeast"/>
          <w:jc w:val="center"/>
        </w:trPr>
        <w:tc>
          <w:tcPr>
            <w:tcW w:w="4745" w:type="dxa"/>
            <w:tcBorders>
              <w:top w:val="nil"/>
              <w:left w:val="single" w:color="auto" w:sz="8" w:space="0"/>
              <w:bottom w:val="single" w:color="auto" w:sz="8" w:space="0"/>
              <w:right w:val="single" w:color="auto" w:sz="8" w:space="0"/>
            </w:tcBorders>
            <w:vAlign w:val="center"/>
          </w:tcPr>
          <w:p w14:paraId="23E482DA">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日期：     年   月   日</w:t>
            </w:r>
          </w:p>
        </w:tc>
        <w:tc>
          <w:tcPr>
            <w:tcW w:w="4434" w:type="dxa"/>
            <w:tcBorders>
              <w:top w:val="nil"/>
              <w:left w:val="nil"/>
              <w:bottom w:val="single" w:color="auto" w:sz="8" w:space="0"/>
              <w:right w:val="single" w:color="auto" w:sz="8" w:space="0"/>
            </w:tcBorders>
            <w:vAlign w:val="center"/>
          </w:tcPr>
          <w:p w14:paraId="288660B2">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日期：     年   月   日</w:t>
            </w:r>
          </w:p>
        </w:tc>
      </w:tr>
    </w:tbl>
    <w:p w14:paraId="0FE9BE38">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40"/>
          <w:szCs w:val="40"/>
          <w:lang w:val="en-US" w:eastAsia="zh-CN"/>
        </w:rPr>
      </w:pPr>
    </w:p>
    <w:p w14:paraId="7F876DB4">
      <w:pPr>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br w:type="page"/>
      </w:r>
    </w:p>
    <w:p w14:paraId="0C323EB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合同文本</w:t>
      </w:r>
    </w:p>
    <w:p w14:paraId="0D129FA5">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p>
    <w:p w14:paraId="41A41302">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p>
    <w:p w14:paraId="44B0029C">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（仅供参考，后续以甲乙双方协商确认）</w:t>
      </w:r>
    </w:p>
    <w:p w14:paraId="201BC785">
      <w:pPr>
        <w:pStyle w:val="7"/>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rPr>
      </w:pPr>
    </w:p>
    <w:p w14:paraId="11BA7711">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项目</w:t>
      </w:r>
    </w:p>
    <w:p w14:paraId="7986BEC1">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p>
    <w:p w14:paraId="090E3DB1">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kern w:val="2"/>
          <w:sz w:val="32"/>
          <w:szCs w:val="32"/>
          <w:lang w:val="en-US" w:eastAsia="zh-CN" w:bidi="ar-SA"/>
        </w:rPr>
      </w:pPr>
    </w:p>
    <w:p w14:paraId="7690BD70">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both"/>
        <w:textAlignment w:val="auto"/>
        <w:rPr>
          <w:rFonts w:hint="eastAsia" w:ascii="仿宋" w:hAnsi="仿宋" w:eastAsia="仿宋" w:cs="仿宋"/>
          <w:kern w:val="2"/>
          <w:sz w:val="32"/>
          <w:szCs w:val="32"/>
          <w:lang w:val="en-US" w:eastAsia="zh-CN" w:bidi="ar-SA"/>
        </w:rPr>
      </w:pPr>
    </w:p>
    <w:p w14:paraId="6F439F55">
      <w:pPr>
        <w:keepNext w:val="0"/>
        <w:keepLines w:val="0"/>
        <w:pageBreakBefore w:val="0"/>
        <w:kinsoku/>
        <w:wordWrap/>
        <w:overflowPunct/>
        <w:topLinePunct w:val="0"/>
        <w:autoSpaceDE/>
        <w:autoSpaceDN/>
        <w:bidi w:val="0"/>
        <w:adjustRightInd/>
        <w:snapToGrid/>
        <w:spacing w:line="420" w:lineRule="exact"/>
        <w:ind w:firstLine="803" w:firstLineChars="200"/>
        <w:jc w:val="center"/>
        <w:textAlignment w:val="auto"/>
        <w:rPr>
          <w:rFonts w:hint="eastAsia" w:ascii="仿宋" w:hAnsi="仿宋" w:eastAsia="仿宋" w:cs="仿宋"/>
          <w:b/>
          <w:sz w:val="40"/>
          <w:szCs w:val="40"/>
        </w:rPr>
      </w:pPr>
      <w:r>
        <w:rPr>
          <w:rFonts w:hint="eastAsia" w:ascii="仿宋" w:hAnsi="仿宋" w:eastAsia="仿宋" w:cs="仿宋"/>
          <w:b/>
          <w:sz w:val="40"/>
          <w:szCs w:val="40"/>
        </w:rPr>
        <w:t>合　　同</w:t>
      </w:r>
    </w:p>
    <w:p w14:paraId="69051074">
      <w:pPr>
        <w:keepNext w:val="0"/>
        <w:keepLines w:val="0"/>
        <w:pageBreakBefore w:val="0"/>
        <w:widowControl w:val="0"/>
        <w:kinsoku/>
        <w:wordWrap/>
        <w:overflowPunct/>
        <w:topLinePunct w:val="0"/>
        <w:autoSpaceDE/>
        <w:autoSpaceDN/>
        <w:bidi w:val="0"/>
        <w:adjustRightInd/>
        <w:snapToGrid/>
        <w:spacing w:line="420" w:lineRule="exact"/>
        <w:ind w:firstLine="800" w:firstLineChars="200"/>
        <w:jc w:val="both"/>
        <w:textAlignment w:val="auto"/>
        <w:rPr>
          <w:rFonts w:hint="eastAsia" w:ascii="仿宋" w:hAnsi="仿宋" w:eastAsia="仿宋" w:cs="仿宋"/>
          <w:kern w:val="2"/>
          <w:sz w:val="40"/>
          <w:szCs w:val="40"/>
          <w:lang w:val="en-US" w:eastAsia="zh-CN" w:bidi="ar-SA"/>
        </w:rPr>
      </w:pPr>
    </w:p>
    <w:p w14:paraId="50E64416">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both"/>
        <w:textAlignment w:val="auto"/>
        <w:rPr>
          <w:rFonts w:hint="eastAsia" w:ascii="仿宋" w:hAnsi="仿宋" w:eastAsia="仿宋" w:cs="仿宋"/>
          <w:kern w:val="2"/>
          <w:sz w:val="32"/>
          <w:szCs w:val="32"/>
          <w:lang w:val="en-US" w:eastAsia="zh-CN" w:bidi="ar-SA"/>
        </w:rPr>
      </w:pPr>
    </w:p>
    <w:p w14:paraId="1B20020B">
      <w:pPr>
        <w:pStyle w:val="8"/>
        <w:rPr>
          <w:rFonts w:hint="eastAsia" w:ascii="仿宋" w:hAnsi="仿宋" w:eastAsia="仿宋" w:cs="仿宋"/>
          <w:kern w:val="2"/>
          <w:sz w:val="32"/>
          <w:szCs w:val="32"/>
          <w:lang w:val="en-US" w:eastAsia="zh-CN" w:bidi="ar-SA"/>
        </w:rPr>
      </w:pPr>
    </w:p>
    <w:p w14:paraId="0615AA21">
      <w:pPr>
        <w:pStyle w:val="8"/>
        <w:rPr>
          <w:rFonts w:hint="eastAsia" w:ascii="仿宋" w:hAnsi="仿宋" w:eastAsia="仿宋" w:cs="仿宋"/>
          <w:kern w:val="2"/>
          <w:sz w:val="32"/>
          <w:szCs w:val="32"/>
          <w:lang w:val="en-US" w:eastAsia="zh-CN" w:bidi="ar-SA"/>
        </w:rPr>
      </w:pPr>
    </w:p>
    <w:p w14:paraId="77071B66">
      <w:pPr>
        <w:pStyle w:val="8"/>
        <w:rPr>
          <w:rFonts w:hint="eastAsia" w:ascii="仿宋" w:hAnsi="仿宋" w:eastAsia="仿宋" w:cs="仿宋"/>
          <w:kern w:val="2"/>
          <w:sz w:val="32"/>
          <w:szCs w:val="32"/>
          <w:lang w:val="en-US" w:eastAsia="zh-CN" w:bidi="ar-SA"/>
        </w:rPr>
      </w:pPr>
    </w:p>
    <w:p w14:paraId="7232FC47">
      <w:pPr>
        <w:pStyle w:val="8"/>
        <w:rPr>
          <w:rFonts w:hint="eastAsia" w:ascii="仿宋" w:hAnsi="仿宋" w:eastAsia="仿宋" w:cs="仿宋"/>
          <w:kern w:val="2"/>
          <w:sz w:val="32"/>
          <w:szCs w:val="32"/>
          <w:lang w:val="en-US" w:eastAsia="zh-CN" w:bidi="ar-SA"/>
        </w:rPr>
      </w:pPr>
    </w:p>
    <w:p w14:paraId="254774E9">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default" w:ascii="仿宋" w:hAnsi="仿宋" w:eastAsia="仿宋" w:cs="仿宋"/>
          <w:sz w:val="36"/>
          <w:szCs w:val="36"/>
          <w:u w:val="single"/>
          <w:lang w:val="en-US" w:eastAsia="zh-CN"/>
        </w:rPr>
      </w:pPr>
      <w:r>
        <w:rPr>
          <w:rFonts w:hint="eastAsia" w:ascii="仿宋" w:hAnsi="仿宋" w:eastAsia="仿宋" w:cs="仿宋"/>
          <w:sz w:val="36"/>
          <w:szCs w:val="36"/>
        </w:rPr>
        <w:t>合同</w:t>
      </w:r>
      <w:r>
        <w:rPr>
          <w:rFonts w:hint="eastAsia" w:ascii="仿宋" w:hAnsi="仿宋" w:eastAsia="仿宋" w:cs="仿宋"/>
          <w:sz w:val="36"/>
          <w:szCs w:val="36"/>
          <w:lang w:val="en-US" w:eastAsia="zh-CN"/>
        </w:rPr>
        <w:t>包</w:t>
      </w:r>
      <w:r>
        <w:rPr>
          <w:rFonts w:hint="eastAsia" w:ascii="仿宋" w:hAnsi="仿宋" w:eastAsia="仿宋" w:cs="仿宋"/>
          <w:sz w:val="36"/>
          <w:szCs w:val="36"/>
        </w:rPr>
        <w:t>号：</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lang w:val="en-US" w:eastAsia="zh-CN"/>
        </w:rPr>
        <w:t xml:space="preserve">  采购包2  </w:t>
      </w:r>
    </w:p>
    <w:p w14:paraId="01237318">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4DCF33AB">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1684223D">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eastAsia" w:ascii="仿宋" w:hAnsi="仿宋" w:eastAsia="仿宋" w:cs="仿宋"/>
          <w:sz w:val="36"/>
          <w:szCs w:val="36"/>
        </w:rPr>
      </w:pPr>
      <w:r>
        <w:rPr>
          <w:rFonts w:hint="eastAsia" w:ascii="仿宋" w:hAnsi="仿宋" w:eastAsia="仿宋" w:cs="仿宋"/>
          <w:sz w:val="36"/>
          <w:szCs w:val="36"/>
        </w:rPr>
        <w:t>甲　　方：</w:t>
      </w:r>
      <w:r>
        <w:rPr>
          <w:rFonts w:hint="eastAsia" w:ascii="仿宋" w:hAnsi="仿宋" w:eastAsia="仿宋" w:cs="仿宋"/>
          <w:sz w:val="36"/>
          <w:szCs w:val="36"/>
          <w:u w:val="single"/>
          <w:lang w:val="en-US" w:eastAsia="zh-CN"/>
        </w:rPr>
        <w:t xml:space="preserve">             </w:t>
      </w: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(采购人名称)</w:t>
      </w:r>
    </w:p>
    <w:p w14:paraId="3D05C792">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2F7A534C">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6C3A07C3">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eastAsia" w:ascii="仿宋" w:hAnsi="仿宋" w:eastAsia="仿宋" w:cs="仿宋"/>
          <w:sz w:val="36"/>
          <w:szCs w:val="36"/>
        </w:rPr>
      </w:pPr>
      <w:r>
        <w:rPr>
          <w:rFonts w:hint="eastAsia" w:ascii="仿宋" w:hAnsi="仿宋" w:eastAsia="仿宋" w:cs="仿宋"/>
          <w:sz w:val="36"/>
          <w:szCs w:val="36"/>
        </w:rPr>
        <w:t>乙　　方：</w:t>
      </w:r>
      <w:r>
        <w:rPr>
          <w:rFonts w:hint="eastAsia" w:ascii="仿宋" w:hAnsi="仿宋" w:eastAsia="仿宋" w:cs="仿宋"/>
          <w:sz w:val="36"/>
          <w:szCs w:val="36"/>
          <w:u w:val="single"/>
          <w:lang w:val="en-US" w:eastAsia="zh-CN"/>
        </w:rPr>
        <w:t xml:space="preserve">              </w:t>
      </w:r>
      <w:r>
        <w:rPr>
          <w:rFonts w:hint="eastAsia" w:ascii="仿宋" w:hAnsi="仿宋" w:eastAsia="仿宋" w:cs="仿宋"/>
          <w:sz w:val="36"/>
          <w:szCs w:val="36"/>
        </w:rPr>
        <w:t>(</w:t>
      </w:r>
      <w:r>
        <w:rPr>
          <w:rFonts w:hint="eastAsia" w:ascii="仿宋" w:hAnsi="仿宋" w:eastAsia="仿宋" w:cs="仿宋"/>
          <w:sz w:val="36"/>
          <w:szCs w:val="36"/>
          <w:lang w:eastAsia="zh-CN"/>
        </w:rPr>
        <w:t>供应商</w:t>
      </w:r>
      <w:r>
        <w:rPr>
          <w:rFonts w:hint="eastAsia" w:ascii="仿宋" w:hAnsi="仿宋" w:eastAsia="仿宋" w:cs="仿宋"/>
          <w:sz w:val="36"/>
          <w:szCs w:val="36"/>
        </w:rPr>
        <w:t>名称)</w:t>
      </w:r>
    </w:p>
    <w:p w14:paraId="6A1244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br w:type="page"/>
      </w:r>
      <w:r>
        <w:rPr>
          <w:rFonts w:hint="eastAsia" w:ascii="仿宋" w:hAnsi="仿宋" w:eastAsia="仿宋" w:cs="仿宋"/>
          <w:sz w:val="32"/>
          <w:szCs w:val="32"/>
        </w:rPr>
        <w:t>根据《中华人民共和国政府采购法》、《中华人民共和国民法典》等有关法律法规规定，</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(采购人名称)(以下简称：“甲方”)通过</w:t>
      </w:r>
      <w:r>
        <w:rPr>
          <w:rFonts w:hint="eastAsia" w:ascii="仿宋" w:hAnsi="仿宋" w:eastAsia="仿宋" w:cs="仿宋"/>
          <w:sz w:val="32"/>
          <w:szCs w:val="32"/>
          <w:u w:val="single"/>
          <w:lang w:val="en-US" w:eastAsia="zh-CN"/>
        </w:rPr>
        <w:t xml:space="preserve"> 竞争性谈判 </w:t>
      </w:r>
      <w:r>
        <w:rPr>
          <w:rFonts w:hint="eastAsia" w:ascii="仿宋" w:hAnsi="仿宋" w:eastAsia="仿宋" w:cs="仿宋"/>
          <w:sz w:val="32"/>
          <w:szCs w:val="32"/>
        </w:rPr>
        <w:t>采购(采购方式)确定</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供应商</w:t>
      </w:r>
      <w:r>
        <w:rPr>
          <w:rFonts w:hint="eastAsia" w:ascii="仿宋" w:hAnsi="仿宋" w:eastAsia="仿宋" w:cs="仿宋"/>
          <w:sz w:val="32"/>
          <w:szCs w:val="32"/>
        </w:rPr>
        <w:t>名称)(以下简称：“乙方”)为</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(项目名称)</w:t>
      </w:r>
      <w:r>
        <w:rPr>
          <w:rFonts w:hint="eastAsia" w:ascii="仿宋" w:hAnsi="仿宋" w:eastAsia="仿宋" w:cs="仿宋"/>
          <w:sz w:val="32"/>
          <w:szCs w:val="32"/>
          <w:u w:val="none"/>
          <w:lang w:val="en-US" w:eastAsia="zh-CN"/>
        </w:rPr>
        <w:t>（包号）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none"/>
          <w:lang w:val="en-US" w:eastAsia="zh-CN"/>
        </w:rPr>
        <w:t>的成交</w:t>
      </w:r>
      <w:r>
        <w:rPr>
          <w:rFonts w:hint="eastAsia" w:ascii="仿宋" w:hAnsi="仿宋" w:eastAsia="仿宋" w:cs="仿宋"/>
          <w:kern w:val="0"/>
          <w:sz w:val="32"/>
          <w:szCs w:val="32"/>
          <w:lang w:eastAsia="zh-CN"/>
        </w:rPr>
        <w:t>供应商</w:t>
      </w:r>
      <w:r>
        <w:rPr>
          <w:rFonts w:hint="eastAsia" w:ascii="仿宋" w:hAnsi="仿宋" w:eastAsia="仿宋" w:cs="仿宋"/>
          <w:sz w:val="32"/>
          <w:szCs w:val="32"/>
        </w:rPr>
        <w:t>。甲乙双方同意签署</w:t>
      </w:r>
      <w:r>
        <w:rPr>
          <w:rFonts w:hint="eastAsia" w:ascii="仿宋" w:hAnsi="仿宋" w:eastAsia="仿宋" w:cs="仿宋"/>
          <w:sz w:val="32"/>
          <w:szCs w:val="32"/>
          <w:lang w:val="en-US" w:eastAsia="zh-CN"/>
        </w:rPr>
        <w:t>本项目合同。</w:t>
      </w:r>
      <w:r>
        <w:rPr>
          <w:rFonts w:hint="eastAsia" w:ascii="仿宋" w:hAnsi="仿宋" w:eastAsia="仿宋" w:cs="仿宋"/>
          <w:sz w:val="32"/>
          <w:szCs w:val="32"/>
        </w:rPr>
        <w:t>(合同编号：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，以下简称：“合同”)。</w:t>
      </w:r>
    </w:p>
    <w:p w14:paraId="7DA0C621">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合同文件</w:t>
      </w:r>
    </w:p>
    <w:p w14:paraId="5676B4F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下列文件是构成本合同不可分割的部分：</w:t>
      </w:r>
    </w:p>
    <w:p w14:paraId="763C1B4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 合同条款；</w:t>
      </w:r>
    </w:p>
    <w:p w14:paraId="61ACCAB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(2) </w:t>
      </w:r>
      <w:r>
        <w:rPr>
          <w:rFonts w:hint="eastAsia" w:ascii="仿宋" w:hAnsi="仿宋" w:eastAsia="仿宋" w:cs="仿宋"/>
          <w:sz w:val="32"/>
          <w:szCs w:val="32"/>
          <w:lang w:eastAsia="zh-CN"/>
        </w:rPr>
        <w:t>成交通知书</w:t>
      </w:r>
      <w:r>
        <w:rPr>
          <w:rFonts w:hint="eastAsia" w:ascii="仿宋" w:hAnsi="仿宋" w:eastAsia="仿宋" w:cs="仿宋"/>
          <w:sz w:val="32"/>
          <w:szCs w:val="32"/>
        </w:rPr>
        <w:t>；</w:t>
      </w:r>
    </w:p>
    <w:p w14:paraId="2F4B81FA">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(3) </w:t>
      </w:r>
      <w:r>
        <w:rPr>
          <w:rFonts w:hint="eastAsia" w:ascii="仿宋" w:hAnsi="仿宋" w:eastAsia="仿宋" w:cs="仿宋"/>
          <w:sz w:val="32"/>
          <w:szCs w:val="32"/>
          <w:lang w:eastAsia="zh-CN"/>
        </w:rPr>
        <w:t>谈判文件</w:t>
      </w:r>
      <w:r>
        <w:rPr>
          <w:rFonts w:hint="eastAsia" w:ascii="仿宋" w:hAnsi="仿宋" w:eastAsia="仿宋" w:cs="仿宋"/>
          <w:sz w:val="32"/>
          <w:szCs w:val="32"/>
        </w:rPr>
        <w:t>；</w:t>
      </w:r>
    </w:p>
    <w:p w14:paraId="3C69145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(4) </w:t>
      </w:r>
      <w:r>
        <w:rPr>
          <w:rFonts w:hint="eastAsia" w:ascii="仿宋" w:hAnsi="仿宋" w:eastAsia="仿宋" w:cs="仿宋"/>
          <w:sz w:val="32"/>
          <w:szCs w:val="32"/>
          <w:lang w:eastAsia="zh-CN"/>
        </w:rPr>
        <w:t>响应文件</w:t>
      </w:r>
      <w:r>
        <w:rPr>
          <w:rFonts w:hint="eastAsia" w:ascii="仿宋" w:hAnsi="仿宋" w:eastAsia="仿宋" w:cs="仿宋"/>
          <w:sz w:val="32"/>
          <w:szCs w:val="32"/>
        </w:rPr>
        <w:t>；</w:t>
      </w:r>
    </w:p>
    <w:p w14:paraId="42D9B4D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 其他(根据实际情况需要增加的内容)。</w:t>
      </w:r>
    </w:p>
    <w:p w14:paraId="79606F1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组成合同的各项文件应互相解释，互为说明。合同文件的解释优先顺序以上述文件先后顺序为准。</w:t>
      </w:r>
    </w:p>
    <w:p w14:paraId="33F697DD">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合同主要标的及数量</w:t>
      </w:r>
    </w:p>
    <w:p w14:paraId="0305D60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乙方应按照合同的规定，提供本项目《招标(采购)文件》中有关要求的产品及服务，包括但不限于以下内容：</w:t>
      </w: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353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2321227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序号</w:t>
            </w:r>
          </w:p>
        </w:tc>
        <w:tc>
          <w:tcPr>
            <w:tcW w:w="1656" w:type="dxa"/>
            <w:vAlign w:val="center"/>
          </w:tcPr>
          <w:p w14:paraId="0DF87D6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货物名称</w:t>
            </w:r>
          </w:p>
        </w:tc>
        <w:tc>
          <w:tcPr>
            <w:tcW w:w="996" w:type="dxa"/>
            <w:vAlign w:val="center"/>
          </w:tcPr>
          <w:p w14:paraId="039094E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品牌</w:t>
            </w:r>
          </w:p>
        </w:tc>
        <w:tc>
          <w:tcPr>
            <w:tcW w:w="1656" w:type="dxa"/>
            <w:vAlign w:val="center"/>
          </w:tcPr>
          <w:p w14:paraId="4EA9F57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型号规格</w:t>
            </w:r>
          </w:p>
        </w:tc>
        <w:tc>
          <w:tcPr>
            <w:tcW w:w="996" w:type="dxa"/>
            <w:vAlign w:val="center"/>
          </w:tcPr>
          <w:p w14:paraId="59A5B14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单价</w:t>
            </w:r>
          </w:p>
        </w:tc>
        <w:tc>
          <w:tcPr>
            <w:tcW w:w="996" w:type="dxa"/>
            <w:vAlign w:val="center"/>
          </w:tcPr>
          <w:p w14:paraId="5BBAE60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数量</w:t>
            </w:r>
          </w:p>
        </w:tc>
        <w:tc>
          <w:tcPr>
            <w:tcW w:w="995" w:type="dxa"/>
            <w:vAlign w:val="center"/>
          </w:tcPr>
          <w:p w14:paraId="1344618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小计</w:t>
            </w:r>
          </w:p>
        </w:tc>
        <w:tc>
          <w:tcPr>
            <w:tcW w:w="995" w:type="dxa"/>
            <w:vAlign w:val="center"/>
          </w:tcPr>
          <w:p w14:paraId="35A23B0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备注</w:t>
            </w:r>
          </w:p>
        </w:tc>
      </w:tr>
      <w:tr w14:paraId="0D8D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39BCDDC0">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6A5C021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5BD9FB9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23BA5C1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015BF79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5437268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752156D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2DBBFF5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r w14:paraId="1221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5389829D">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600F538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440712C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11C27DD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15017767">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569F5D3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08D4694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33900C5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r w14:paraId="1F2D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29092E9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18D0622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02E3C938">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235740D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39C1F50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05464C8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4D3BA16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03A0950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r w14:paraId="0E43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7C103F1A">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72935AB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530B15AA">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5571EBC7">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0851411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6B86C57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44F81BF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035D05D3">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r w14:paraId="5C58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31075D2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76AB7A0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364BACD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3531A7BE">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7EAEE32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15094E3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268F61F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3AE277C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r w14:paraId="39E5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7FFB753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2272B4D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7BBD9D57">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1656" w:type="dxa"/>
            <w:vAlign w:val="center"/>
          </w:tcPr>
          <w:p w14:paraId="00794A6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4A294F8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2A13A7D7">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62181C2A">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5E551F5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r w14:paraId="20F2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vAlign w:val="center"/>
          </w:tcPr>
          <w:p w14:paraId="362E10E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合计</w:t>
            </w:r>
          </w:p>
        </w:tc>
        <w:tc>
          <w:tcPr>
            <w:tcW w:w="996" w:type="dxa"/>
            <w:vAlign w:val="center"/>
          </w:tcPr>
          <w:p w14:paraId="3A735A2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6" w:type="dxa"/>
            <w:vAlign w:val="center"/>
          </w:tcPr>
          <w:p w14:paraId="5B7871D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445543AC">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c>
          <w:tcPr>
            <w:tcW w:w="995" w:type="dxa"/>
            <w:vAlign w:val="center"/>
          </w:tcPr>
          <w:p w14:paraId="69687F5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tc>
      </w:tr>
    </w:tbl>
    <w:p w14:paraId="33421A71">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合同总金额及付款方式</w:t>
      </w:r>
    </w:p>
    <w:p w14:paraId="3F787AE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合同总金额</w:t>
      </w:r>
    </w:p>
    <w:p w14:paraId="37106DD5">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本合同总金额为人民币</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元(¥</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)。本项目包括但不限于运输费、</w:t>
      </w:r>
      <w:r>
        <w:rPr>
          <w:rFonts w:hint="eastAsia" w:ascii="仿宋" w:hAnsi="仿宋" w:eastAsia="仿宋" w:cs="仿宋"/>
          <w:sz w:val="32"/>
          <w:szCs w:val="32"/>
          <w:lang w:val="en-US" w:eastAsia="zh-CN"/>
        </w:rPr>
        <w:t>安装</w:t>
      </w:r>
      <w:r>
        <w:rPr>
          <w:rFonts w:hint="eastAsia" w:ascii="仿宋" w:hAnsi="仿宋" w:eastAsia="仿宋" w:cs="仿宋"/>
          <w:sz w:val="32"/>
          <w:szCs w:val="32"/>
        </w:rPr>
        <w:t>费、</w:t>
      </w:r>
      <w:r>
        <w:rPr>
          <w:rFonts w:hint="eastAsia" w:ascii="仿宋" w:hAnsi="仿宋" w:eastAsia="仿宋" w:cs="仿宋"/>
          <w:sz w:val="32"/>
          <w:szCs w:val="32"/>
          <w:lang w:val="en-US" w:eastAsia="zh-CN"/>
        </w:rPr>
        <w:t>培训</w:t>
      </w:r>
      <w:r>
        <w:rPr>
          <w:rFonts w:hint="eastAsia" w:ascii="仿宋" w:hAnsi="仿宋" w:eastAsia="仿宋" w:cs="仿宋"/>
          <w:sz w:val="32"/>
          <w:szCs w:val="32"/>
        </w:rPr>
        <w:t>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招标代理服务费及</w:t>
      </w:r>
      <w:r>
        <w:rPr>
          <w:rFonts w:hint="eastAsia" w:ascii="仿宋" w:hAnsi="仿宋" w:eastAsia="仿宋" w:cs="仿宋"/>
          <w:sz w:val="32"/>
          <w:szCs w:val="32"/>
        </w:rPr>
        <w:t>售后</w:t>
      </w:r>
      <w:r>
        <w:rPr>
          <w:rFonts w:hint="eastAsia" w:ascii="仿宋" w:hAnsi="仿宋" w:eastAsia="仿宋" w:cs="仿宋"/>
          <w:sz w:val="32"/>
          <w:szCs w:val="32"/>
          <w:lang w:val="en-US" w:eastAsia="zh-CN"/>
        </w:rPr>
        <w:t>等执行本合同所需要的相关费用</w:t>
      </w:r>
      <w:r>
        <w:rPr>
          <w:rFonts w:hint="eastAsia" w:ascii="仿宋" w:hAnsi="仿宋" w:eastAsia="仿宋" w:cs="仿宋"/>
          <w:sz w:val="32"/>
          <w:szCs w:val="32"/>
        </w:rPr>
        <w:t>。</w:t>
      </w:r>
    </w:p>
    <w:p w14:paraId="5589FBFF">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付款方式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转账支付。</w:t>
      </w:r>
    </w:p>
    <w:p w14:paraId="70221A09">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u w:val="none"/>
          <w:lang w:eastAsia="zh-CN"/>
        </w:rPr>
      </w:pPr>
      <w:r>
        <w:rPr>
          <w:rFonts w:hint="eastAsia" w:ascii="仿宋" w:hAnsi="仿宋" w:eastAsia="仿宋" w:cs="仿宋"/>
          <w:sz w:val="32"/>
          <w:szCs w:val="32"/>
          <w:u w:val="none"/>
          <w:lang w:val="en-US" w:eastAsia="zh-CN"/>
        </w:rPr>
        <w:t xml:space="preserve">（三）付款比例：供货完成并经甲方验收合格，达到付款条件起30个工作日内，支付合同总金额的100%。 </w:t>
      </w:r>
    </w:p>
    <w:p w14:paraId="64F77A1E">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u w:val="none"/>
          <w:lang w:val="en-US" w:eastAsia="zh-CN"/>
        </w:rPr>
        <w:t>（四）</w:t>
      </w:r>
      <w:r>
        <w:rPr>
          <w:rFonts w:hint="eastAsia" w:ascii="仿宋" w:hAnsi="仿宋" w:eastAsia="仿宋" w:cs="仿宋"/>
          <w:sz w:val="32"/>
          <w:szCs w:val="32"/>
        </w:rPr>
        <w:t>履约保证金</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无  </w:t>
      </w:r>
    </w:p>
    <w:p w14:paraId="54807D52">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产品</w:t>
      </w:r>
      <w:r>
        <w:rPr>
          <w:rFonts w:hint="eastAsia" w:ascii="仿宋" w:hAnsi="仿宋" w:eastAsia="仿宋" w:cs="仿宋"/>
          <w:b/>
          <w:bCs/>
          <w:sz w:val="32"/>
          <w:szCs w:val="32"/>
          <w:lang w:val="en-US" w:eastAsia="zh-CN"/>
        </w:rPr>
        <w:t>交货期和</w:t>
      </w:r>
      <w:r>
        <w:rPr>
          <w:rFonts w:hint="eastAsia" w:ascii="仿宋" w:hAnsi="仿宋" w:eastAsia="仿宋" w:cs="仿宋"/>
          <w:b/>
          <w:bCs/>
          <w:sz w:val="32"/>
          <w:szCs w:val="32"/>
        </w:rPr>
        <w:t>质保期</w:t>
      </w:r>
    </w:p>
    <w:p w14:paraId="3E655526">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5.1交货期：自合同签订之日起15个日历日完成供货。</w:t>
      </w:r>
    </w:p>
    <w:p w14:paraId="266C4484">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5.2</w:t>
      </w:r>
      <w:r>
        <w:rPr>
          <w:rFonts w:hint="eastAsia" w:ascii="仿宋" w:hAnsi="仿宋" w:eastAsia="仿宋" w:cs="仿宋"/>
          <w:sz w:val="32"/>
          <w:szCs w:val="32"/>
        </w:rPr>
        <w:t>质保期</w:t>
      </w:r>
      <w:r>
        <w:rPr>
          <w:rFonts w:hint="eastAsia" w:ascii="仿宋" w:hAnsi="仿宋" w:eastAsia="仿宋" w:cs="仿宋"/>
          <w:sz w:val="32"/>
          <w:szCs w:val="32"/>
          <w:lang w:eastAsia="zh-CN"/>
        </w:rPr>
        <w:t>：产品质保三年。</w:t>
      </w:r>
    </w:p>
    <w:p w14:paraId="3D29E119">
      <w:pPr>
        <w:autoSpaceDE w:val="0"/>
        <w:autoSpaceDN w:val="0"/>
        <w:adjustRightInd w:val="0"/>
        <w:snapToGrid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、双方的权利和义务</w:t>
      </w:r>
    </w:p>
    <w:p w14:paraId="4125D0D0">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（一）甲方的权利与义务</w:t>
      </w:r>
    </w:p>
    <w:p w14:paraId="2E5EB173">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1、甲方有权对乙方货物生产、备货、发货全过程进行监督检查。</w:t>
      </w:r>
    </w:p>
    <w:p w14:paraId="7125CC12">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2、甲方有权要求乙方按期报送供货进度计划表、备货清单、物流运输单据；乙方逾期交货的，甲方有权发送书面履约催告函，并按照合同约定计收逾期违约金；逾期交货达到合同约定时限的，甲方有权单方解除合同，并追偿甲方实际经济损失。</w:t>
      </w:r>
    </w:p>
    <w:p w14:paraId="6B04C8F6">
      <w:pPr>
        <w:autoSpaceDE w:val="0"/>
        <w:autoSpaceDN w:val="0"/>
        <w:adjustRightInd w:val="0"/>
        <w:snapToGrid w:val="0"/>
        <w:spacing w:line="360" w:lineRule="auto"/>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货物送达指定地点后，甲方有权对货物数量、外观、技术参数、配件清单进行现场核验。若货品型号不符、以旧充新、翻新改装、配件缺失、技术参数不满足谈判文件及合同要求，甲方有权当场拒收、不予入库，责令乙方限期无条件退换货，由此产生的仓储费、人工费、二次运输费等全部费用由乙方承担。</w:t>
      </w:r>
    </w:p>
    <w:p w14:paraId="58771CF9">
      <w:pPr>
        <w:pStyle w:val="5"/>
        <w:ind w:firstLine="640" w:firstLineChars="200"/>
        <w:rPr>
          <w:rFonts w:hint="default"/>
          <w:lang w:val="en-US" w:eastAsia="zh-CN"/>
        </w:rPr>
      </w:pPr>
      <w:r>
        <w:rPr>
          <w:rFonts w:hint="eastAsia" w:ascii="仿宋" w:hAnsi="仿宋" w:eastAsia="仿宋" w:cs="仿宋"/>
          <w:bCs/>
          <w:sz w:val="32"/>
          <w:szCs w:val="32"/>
          <w:lang w:val="en-US" w:eastAsia="zh-CN"/>
        </w:rPr>
        <w:t>4、合同履行期间，甲方不得单方无故解除合同；确因政策、规划需要提前终止合同的，须与乙方友好协商，并按照合同约定承担相应补偿责任。</w:t>
      </w:r>
    </w:p>
    <w:p w14:paraId="1C7951F6">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（二）乙方的权利与义务</w:t>
      </w:r>
    </w:p>
    <w:p w14:paraId="34F817C9">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1、乙方根据</w:t>
      </w:r>
      <w:r>
        <w:rPr>
          <w:rFonts w:hint="eastAsia" w:ascii="仿宋" w:hAnsi="仿宋" w:eastAsia="仿宋" w:cs="仿宋"/>
          <w:bCs/>
          <w:sz w:val="32"/>
          <w:szCs w:val="32"/>
          <w:highlight w:val="none"/>
          <w:lang w:val="en-US" w:eastAsia="zh-CN"/>
        </w:rPr>
        <w:t>谈判</w:t>
      </w:r>
      <w:r>
        <w:rPr>
          <w:rFonts w:hint="eastAsia" w:ascii="仿宋" w:hAnsi="仿宋" w:eastAsia="仿宋" w:cs="仿宋"/>
          <w:bCs/>
          <w:sz w:val="32"/>
          <w:szCs w:val="32"/>
          <w:highlight w:val="none"/>
        </w:rPr>
        <w:t>要求，全面完成供货、安装、调试工作，项目验收合格，且提交完整竣工资料、合规完税发票后，有权要求甲方按照合同约定按时、足额对公支付项目货款。</w:t>
      </w:r>
    </w:p>
    <w:p w14:paraId="394431BD">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eastAsia="zh-CN"/>
        </w:rPr>
      </w:pPr>
      <w:r>
        <w:rPr>
          <w:rFonts w:hint="eastAsia" w:ascii="仿宋" w:hAnsi="仿宋" w:eastAsia="仿宋" w:cs="仿宋"/>
          <w:bCs/>
          <w:sz w:val="32"/>
          <w:szCs w:val="32"/>
          <w:highlight w:val="none"/>
        </w:rPr>
        <w:t>2、因甲方未按时提供卸货场地、</w:t>
      </w:r>
      <w:r>
        <w:rPr>
          <w:rFonts w:hint="eastAsia" w:ascii="仿宋" w:hAnsi="仿宋" w:eastAsia="仿宋" w:cs="仿宋"/>
          <w:bCs/>
          <w:sz w:val="32"/>
          <w:szCs w:val="32"/>
          <w:highlight w:val="none"/>
          <w:lang w:val="en-US" w:eastAsia="zh-CN"/>
        </w:rPr>
        <w:t>安装</w:t>
      </w:r>
      <w:r>
        <w:rPr>
          <w:rFonts w:hint="eastAsia" w:ascii="仿宋" w:hAnsi="仿宋" w:eastAsia="仿宋" w:cs="仿宋"/>
          <w:bCs/>
          <w:sz w:val="32"/>
          <w:szCs w:val="32"/>
          <w:highlight w:val="none"/>
        </w:rPr>
        <w:t>条件、现场对接配合，导致工期延误、人员误工、货品仓储损耗的，乙方有权申请工期顺延，并要求甲方赔偿乙方实际产生的误工、仓储损失</w:t>
      </w:r>
      <w:r>
        <w:rPr>
          <w:rFonts w:hint="eastAsia" w:ascii="仿宋" w:hAnsi="仿宋" w:eastAsia="仿宋" w:cs="仿宋"/>
          <w:bCs/>
          <w:sz w:val="32"/>
          <w:szCs w:val="32"/>
          <w:highlight w:val="none"/>
          <w:lang w:eastAsia="zh-CN"/>
        </w:rPr>
        <w:t>。</w:t>
      </w:r>
    </w:p>
    <w:p w14:paraId="289D11EB">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eastAsia="zh-CN"/>
        </w:rPr>
      </w:pPr>
      <w:r>
        <w:rPr>
          <w:rFonts w:hint="eastAsia" w:ascii="仿宋" w:hAnsi="仿宋" w:eastAsia="仿宋" w:cs="仿宋"/>
          <w:bCs/>
          <w:sz w:val="32"/>
          <w:szCs w:val="32"/>
          <w:highlight w:val="none"/>
        </w:rPr>
        <w:t>3、乙方确保所供</w:t>
      </w:r>
      <w:r>
        <w:rPr>
          <w:rFonts w:hint="eastAsia" w:ascii="仿宋" w:hAnsi="仿宋" w:eastAsia="仿宋" w:cs="仿宋"/>
          <w:bCs/>
          <w:sz w:val="32"/>
          <w:szCs w:val="32"/>
          <w:highlight w:val="none"/>
          <w:lang w:val="en-US" w:eastAsia="zh-CN"/>
        </w:rPr>
        <w:t>货物</w:t>
      </w:r>
      <w:r>
        <w:rPr>
          <w:rFonts w:hint="eastAsia" w:ascii="仿宋" w:hAnsi="仿宋" w:eastAsia="仿宋" w:cs="仿宋"/>
          <w:bCs/>
          <w:sz w:val="32"/>
          <w:szCs w:val="32"/>
          <w:highlight w:val="none"/>
        </w:rPr>
        <w:t>渠道正规、产地及制造商明确，产品销售记录可追溯</w:t>
      </w:r>
      <w:r>
        <w:rPr>
          <w:rFonts w:hint="eastAsia" w:ascii="仿宋" w:hAnsi="仿宋" w:eastAsia="仿宋" w:cs="仿宋"/>
          <w:bCs/>
          <w:sz w:val="32"/>
          <w:szCs w:val="32"/>
          <w:highlight w:val="none"/>
          <w:lang w:eastAsia="zh-CN"/>
        </w:rPr>
        <w:t>。</w:t>
      </w:r>
    </w:p>
    <w:p w14:paraId="3FD69AF8">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4、乙方根据</w:t>
      </w:r>
      <w:r>
        <w:rPr>
          <w:rFonts w:hint="eastAsia" w:ascii="仿宋" w:hAnsi="仿宋" w:eastAsia="仿宋" w:cs="仿宋"/>
          <w:bCs/>
          <w:sz w:val="32"/>
          <w:szCs w:val="32"/>
          <w:highlight w:val="none"/>
          <w:lang w:val="en-US" w:eastAsia="zh-CN"/>
        </w:rPr>
        <w:t>谈判</w:t>
      </w:r>
      <w:r>
        <w:rPr>
          <w:rFonts w:hint="eastAsia" w:ascii="仿宋" w:hAnsi="仿宋" w:eastAsia="仿宋" w:cs="仿宋"/>
          <w:bCs/>
          <w:sz w:val="32"/>
          <w:szCs w:val="32"/>
          <w:highlight w:val="none"/>
        </w:rPr>
        <w:t>要求提供运输车辆及运输人员，确保运输安全。</w:t>
      </w:r>
    </w:p>
    <w:p w14:paraId="192F4541">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eastAsia="zh-CN"/>
        </w:rPr>
      </w:pPr>
      <w:r>
        <w:rPr>
          <w:rFonts w:hint="eastAsia" w:ascii="仿宋" w:hAnsi="仿宋" w:eastAsia="仿宋" w:cs="仿宋"/>
          <w:bCs/>
          <w:sz w:val="32"/>
          <w:szCs w:val="32"/>
          <w:highlight w:val="none"/>
          <w:lang w:val="en-US" w:eastAsia="zh-CN"/>
        </w:rPr>
        <w:t>5、供货安装完成后，乙方一次性移交全套资料：设备使用说明书、设备台账、驱动程序、管理账号密钥、设备检定资料等，并免费为甲方运维管理人员开展实操教学、日常保养培训，确保甲方工作人员可独立操作、简单运维设备。</w:t>
      </w:r>
    </w:p>
    <w:p w14:paraId="34425AAD">
      <w:pPr>
        <w:autoSpaceDE w:val="0"/>
        <w:autoSpaceDN w:val="0"/>
        <w:adjustRightInd w:val="0"/>
        <w:snapToGrid w:val="0"/>
        <w:spacing w:line="360" w:lineRule="auto"/>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五、包装和运输</w:t>
      </w:r>
    </w:p>
    <w:p w14:paraId="65D720F0">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(一)产品及其备附件的包装应附有出厂合格证明及其他相关资料。</w:t>
      </w:r>
    </w:p>
    <w:p w14:paraId="6B342C65">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rPr>
        <w:t>(二)运输由乙方负责，运</w:t>
      </w:r>
      <w:r>
        <w:rPr>
          <w:rFonts w:hint="eastAsia" w:ascii="仿宋" w:hAnsi="仿宋" w:eastAsia="仿宋" w:cs="仿宋"/>
          <w:bCs/>
          <w:sz w:val="32"/>
          <w:szCs w:val="32"/>
          <w:highlight w:val="none"/>
          <w:lang w:val="en-US" w:eastAsia="zh-CN"/>
        </w:rPr>
        <w:t>输</w:t>
      </w:r>
      <w:r>
        <w:rPr>
          <w:rFonts w:hint="eastAsia" w:ascii="仿宋" w:hAnsi="仿宋" w:eastAsia="仿宋" w:cs="仿宋"/>
          <w:bCs/>
          <w:sz w:val="32"/>
          <w:szCs w:val="32"/>
          <w:highlight w:val="none"/>
        </w:rPr>
        <w:t>费已包含在合同价款内。</w:t>
      </w:r>
      <w:r>
        <w:rPr>
          <w:rFonts w:hint="eastAsia" w:ascii="仿宋" w:hAnsi="仿宋" w:eastAsia="仿宋" w:cs="仿宋"/>
          <w:bCs/>
          <w:sz w:val="32"/>
          <w:szCs w:val="32"/>
          <w:highlight w:val="none"/>
          <w:lang w:val="en-US" w:eastAsia="zh-CN"/>
        </w:rPr>
        <w:t>包括从货物供应地点送至交货地点所含的运输费、装卸费、仓储费、保险费等。</w:t>
      </w:r>
    </w:p>
    <w:p w14:paraId="1E978CE2">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rPr>
      </w:pPr>
      <w:r>
        <w:rPr>
          <w:rFonts w:hint="eastAsia" w:ascii="仿宋" w:hAnsi="仿宋" w:eastAsia="仿宋" w:cs="仿宋"/>
          <w:bCs/>
          <w:sz w:val="32"/>
          <w:szCs w:val="32"/>
          <w:highlight w:val="none"/>
        </w:rPr>
        <w:t>(三)产品及其备附件到达甲方指定地点后，乙方应按有关技术规程和甲方要求进存放和保管。</w:t>
      </w:r>
    </w:p>
    <w:p w14:paraId="3F19FF31">
      <w:pPr>
        <w:autoSpaceDE w:val="0"/>
        <w:autoSpaceDN w:val="0"/>
        <w:adjustRightInd w:val="0"/>
        <w:snapToGrid w:val="0"/>
        <w:spacing w:line="360" w:lineRule="auto"/>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六</w:t>
      </w:r>
      <w:r>
        <w:rPr>
          <w:rFonts w:hint="eastAsia" w:ascii="仿宋" w:hAnsi="仿宋" w:eastAsia="仿宋" w:cs="仿宋"/>
          <w:b/>
          <w:bCs/>
          <w:sz w:val="32"/>
          <w:szCs w:val="32"/>
          <w:highlight w:val="none"/>
        </w:rPr>
        <w:t>、质量保证</w:t>
      </w:r>
    </w:p>
    <w:p w14:paraId="0E73CD40">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rPr>
        <w:t>（一）</w:t>
      </w:r>
      <w:r>
        <w:rPr>
          <w:rFonts w:hint="eastAsia" w:ascii="仿宋" w:hAnsi="仿宋" w:eastAsia="仿宋" w:cs="仿宋"/>
          <w:bCs/>
          <w:sz w:val="32"/>
          <w:szCs w:val="32"/>
          <w:highlight w:val="none"/>
          <w:lang w:val="en-US" w:eastAsia="zh-CN"/>
        </w:rPr>
        <w:t>所供货物必须保证质量可靠</w:t>
      </w:r>
      <w:r>
        <w:rPr>
          <w:rFonts w:hint="eastAsia" w:ascii="仿宋" w:hAnsi="仿宋" w:eastAsia="仿宋" w:cs="仿宋"/>
          <w:bCs/>
          <w:sz w:val="32"/>
          <w:szCs w:val="32"/>
          <w:highlight w:val="none"/>
        </w:rPr>
        <w:t>，</w:t>
      </w:r>
      <w:r>
        <w:rPr>
          <w:rFonts w:hint="eastAsia" w:ascii="仿宋" w:hAnsi="仿宋" w:eastAsia="仿宋" w:cs="仿宋"/>
          <w:bCs/>
          <w:sz w:val="32"/>
          <w:szCs w:val="32"/>
          <w:highlight w:val="none"/>
          <w:lang w:val="en-US" w:eastAsia="zh-CN"/>
        </w:rPr>
        <w:t>进货渠道正规，符合</w:t>
      </w:r>
      <w:r>
        <w:rPr>
          <w:rFonts w:hint="eastAsia" w:ascii="仿宋" w:hAnsi="仿宋" w:eastAsia="仿宋" w:cs="仿宋"/>
          <w:bCs/>
          <w:sz w:val="32"/>
          <w:szCs w:val="32"/>
          <w:highlight w:val="none"/>
        </w:rPr>
        <w:t>国家</w:t>
      </w:r>
      <w:r>
        <w:rPr>
          <w:rFonts w:hint="eastAsia" w:ascii="仿宋" w:hAnsi="仿宋" w:eastAsia="仿宋" w:cs="仿宋"/>
          <w:bCs/>
          <w:sz w:val="32"/>
          <w:szCs w:val="32"/>
          <w:highlight w:val="none"/>
          <w:lang w:val="en-US" w:eastAsia="zh-CN"/>
        </w:rPr>
        <w:t>相关</w:t>
      </w:r>
      <w:r>
        <w:rPr>
          <w:rFonts w:hint="eastAsia" w:ascii="仿宋" w:hAnsi="仿宋" w:eastAsia="仿宋" w:cs="仿宋"/>
          <w:bCs/>
          <w:sz w:val="32"/>
          <w:szCs w:val="32"/>
          <w:highlight w:val="none"/>
        </w:rPr>
        <w:t>标准，</w:t>
      </w:r>
      <w:r>
        <w:rPr>
          <w:rFonts w:hint="eastAsia" w:ascii="仿宋" w:hAnsi="仿宋" w:eastAsia="仿宋" w:cs="仿宋"/>
          <w:bCs/>
          <w:sz w:val="32"/>
          <w:szCs w:val="32"/>
          <w:highlight w:val="none"/>
          <w:lang w:val="en-US" w:eastAsia="zh-CN"/>
        </w:rPr>
        <w:t>并满足谈判文件要求。</w:t>
      </w:r>
    </w:p>
    <w:p w14:paraId="7DD2CB3E">
      <w:pPr>
        <w:autoSpaceDE w:val="0"/>
        <w:autoSpaceDN w:val="0"/>
        <w:adjustRightInd w:val="0"/>
        <w:snapToGrid w:val="0"/>
        <w:spacing w:line="360" w:lineRule="auto"/>
        <w:ind w:firstLine="640"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rPr>
        <w:t>（二）</w:t>
      </w:r>
      <w:r>
        <w:rPr>
          <w:rFonts w:hint="eastAsia" w:ascii="仿宋" w:hAnsi="仿宋" w:eastAsia="仿宋" w:cs="仿宋"/>
          <w:bCs/>
          <w:sz w:val="32"/>
          <w:szCs w:val="32"/>
          <w:highlight w:val="none"/>
          <w:lang w:val="en-US" w:eastAsia="zh-CN"/>
        </w:rPr>
        <w:t>保证所供货物在装卸、运输和仓储中有足够的包装保护及安全防护措施，防止货物遗漏。乙方在完成货物交付以前所有风险、产生的费用，均由乙方承担。</w:t>
      </w:r>
    </w:p>
    <w:p w14:paraId="2B5C9EDB">
      <w:pPr>
        <w:pStyle w:val="11"/>
        <w:spacing w:line="360" w:lineRule="auto"/>
        <w:ind w:firstLine="640"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（三）严格做好货物运输安全管理工作。</w:t>
      </w:r>
    </w:p>
    <w:p w14:paraId="79487431">
      <w:pPr>
        <w:autoSpaceDE w:val="0"/>
        <w:autoSpaceDN w:val="0"/>
        <w:adjustRightInd w:val="0"/>
        <w:snapToGrid w:val="0"/>
        <w:spacing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、验收</w:t>
      </w:r>
    </w:p>
    <w:p w14:paraId="68B1D6B5">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（一）本项目验收费用，由乙方自行承担。</w:t>
      </w:r>
    </w:p>
    <w:p w14:paraId="1118FCC4">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（二）货物到达甲方指定地点后，甲方根据合同要求，进行验收，确认产地、规格数量。必要时委托具有相关资质的第三方检测机构或邀请行业内专家对货物外观质量进行抽样检验，检验费用由乙方承担。</w:t>
      </w:r>
    </w:p>
    <w:p w14:paraId="695E966B">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w:t>
      </w:r>
      <w:r>
        <w:rPr>
          <w:rFonts w:hint="eastAsia" w:ascii="仿宋" w:hAnsi="仿宋" w:eastAsia="仿宋" w:cs="仿宋"/>
          <w:bCs/>
          <w:sz w:val="32"/>
          <w:szCs w:val="32"/>
          <w:lang w:val="en-US" w:eastAsia="zh-CN"/>
        </w:rPr>
        <w:t>三</w:t>
      </w:r>
      <w:r>
        <w:rPr>
          <w:rFonts w:hint="eastAsia" w:ascii="仿宋" w:hAnsi="仿宋" w:eastAsia="仿宋" w:cs="仿宋"/>
          <w:bCs/>
          <w:sz w:val="32"/>
          <w:szCs w:val="32"/>
        </w:rPr>
        <w:t>）验收依据：</w:t>
      </w:r>
    </w:p>
    <w:p w14:paraId="6699B29F">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1、本合同及附加文本；</w:t>
      </w:r>
    </w:p>
    <w:p w14:paraId="72857AF4">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bCs/>
          <w:sz w:val="32"/>
          <w:szCs w:val="32"/>
          <w:lang w:val="en-US" w:eastAsia="zh-CN"/>
        </w:rPr>
        <w:t>谈判</w:t>
      </w:r>
      <w:r>
        <w:rPr>
          <w:rFonts w:hint="eastAsia" w:ascii="仿宋" w:hAnsi="仿宋" w:eastAsia="仿宋" w:cs="仿宋"/>
          <w:bCs/>
          <w:sz w:val="32"/>
          <w:szCs w:val="32"/>
        </w:rPr>
        <w:t>文件、成交供应商的响应文件及澄清（承诺）函；</w:t>
      </w:r>
    </w:p>
    <w:p w14:paraId="4E533B61">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3、国家相应的标准、规范。</w:t>
      </w:r>
    </w:p>
    <w:p w14:paraId="5A9FE02E">
      <w:pPr>
        <w:autoSpaceDE w:val="0"/>
        <w:autoSpaceDN w:val="0"/>
        <w:adjustRightInd w:val="0"/>
        <w:snapToGrid w:val="0"/>
        <w:spacing w:line="360" w:lineRule="auto"/>
        <w:ind w:firstLine="643" w:firstLineChars="200"/>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八</w:t>
      </w:r>
      <w:r>
        <w:rPr>
          <w:rFonts w:hint="eastAsia" w:ascii="仿宋" w:hAnsi="仿宋" w:eastAsia="仿宋" w:cs="仿宋"/>
          <w:b/>
          <w:bCs w:val="0"/>
          <w:sz w:val="32"/>
          <w:szCs w:val="32"/>
        </w:rPr>
        <w:t>、违约责任</w:t>
      </w:r>
    </w:p>
    <w:p w14:paraId="2F7C210B">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（一）按《中华人民共和国民法典》中的相关条款执行。</w:t>
      </w:r>
    </w:p>
    <w:p w14:paraId="189BBDA6">
      <w:pPr>
        <w:autoSpaceDE w:val="0"/>
        <w:autoSpaceDN w:val="0"/>
        <w:adjustRightInd w:val="0"/>
        <w:snapToGrid w:val="0"/>
        <w:spacing w:line="360" w:lineRule="auto"/>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rPr>
        <w:t>（二）每次供货，若</w:t>
      </w:r>
      <w:r>
        <w:rPr>
          <w:rFonts w:hint="eastAsia" w:ascii="仿宋" w:hAnsi="仿宋" w:eastAsia="仿宋" w:cs="仿宋"/>
          <w:bCs/>
          <w:sz w:val="32"/>
          <w:szCs w:val="32"/>
          <w:lang w:val="en-US" w:eastAsia="zh-CN"/>
        </w:rPr>
        <w:t>乙方</w:t>
      </w:r>
      <w:r>
        <w:rPr>
          <w:rFonts w:hint="eastAsia" w:ascii="仿宋" w:hAnsi="仿宋" w:eastAsia="仿宋" w:cs="仿宋"/>
          <w:bCs/>
          <w:sz w:val="32"/>
          <w:szCs w:val="32"/>
        </w:rPr>
        <w:t>由于非不可抗力原因导致无法按时配送到位，每迟</w:t>
      </w:r>
      <w:r>
        <w:rPr>
          <w:rFonts w:hint="eastAsia" w:ascii="仿宋" w:hAnsi="仿宋" w:eastAsia="仿宋" w:cs="仿宋"/>
          <w:bCs/>
          <w:sz w:val="32"/>
          <w:szCs w:val="32"/>
          <w:lang w:val="en-US" w:eastAsia="zh-CN"/>
        </w:rPr>
        <w:t>延</w:t>
      </w:r>
      <w:r>
        <w:rPr>
          <w:rFonts w:hint="eastAsia" w:ascii="仿宋" w:hAnsi="仿宋" w:eastAsia="仿宋" w:cs="仿宋"/>
          <w:bCs/>
          <w:sz w:val="32"/>
          <w:szCs w:val="32"/>
        </w:rPr>
        <w:t>1天，应按</w:t>
      </w:r>
      <w:r>
        <w:rPr>
          <w:rFonts w:hint="eastAsia" w:ascii="仿宋" w:hAnsi="仿宋" w:eastAsia="仿宋" w:cs="仿宋"/>
          <w:bCs/>
          <w:sz w:val="32"/>
          <w:szCs w:val="32"/>
          <w:lang w:val="en-US" w:eastAsia="zh-CN"/>
        </w:rPr>
        <w:t>迟延</w:t>
      </w:r>
      <w:r>
        <w:rPr>
          <w:rFonts w:hint="eastAsia" w:ascii="仿宋" w:hAnsi="仿宋" w:eastAsia="仿宋" w:cs="仿宋"/>
          <w:bCs/>
          <w:sz w:val="32"/>
          <w:szCs w:val="32"/>
        </w:rPr>
        <w:t>交付货物价款的千分之五向甲方支付违约金</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甲方可直接从未付货款中扣除</w:t>
      </w:r>
      <w:r>
        <w:rPr>
          <w:rFonts w:hint="eastAsia" w:ascii="仿宋" w:hAnsi="仿宋" w:eastAsia="仿宋" w:cs="仿宋"/>
          <w:bCs/>
          <w:sz w:val="32"/>
          <w:szCs w:val="32"/>
          <w:lang w:eastAsia="zh-CN"/>
        </w:rPr>
        <w:t>）</w:t>
      </w:r>
      <w:r>
        <w:rPr>
          <w:rFonts w:hint="eastAsia" w:ascii="仿宋" w:hAnsi="仿宋" w:eastAsia="仿宋" w:cs="仿宋"/>
          <w:bCs/>
          <w:sz w:val="32"/>
          <w:szCs w:val="32"/>
        </w:rPr>
        <w:t>。逾期超过15日，甲方有权</w:t>
      </w:r>
      <w:r>
        <w:rPr>
          <w:rFonts w:hint="eastAsia" w:ascii="仿宋" w:hAnsi="仿宋" w:eastAsia="仿宋" w:cs="仿宋"/>
          <w:bCs/>
          <w:sz w:val="32"/>
          <w:szCs w:val="32"/>
          <w:lang w:val="en-US" w:eastAsia="zh-CN"/>
        </w:rPr>
        <w:t>单方</w:t>
      </w:r>
      <w:r>
        <w:rPr>
          <w:rFonts w:hint="eastAsia" w:ascii="仿宋" w:hAnsi="仿宋" w:eastAsia="仿宋" w:cs="仿宋"/>
          <w:bCs/>
          <w:sz w:val="32"/>
          <w:szCs w:val="32"/>
        </w:rPr>
        <w:t>解除合同，并要求乙方承担合同总价20%的违约责任并赔偿全部损失</w:t>
      </w:r>
      <w:r>
        <w:rPr>
          <w:rFonts w:hint="eastAsia" w:ascii="仿宋" w:hAnsi="仿宋" w:eastAsia="仿宋" w:cs="仿宋"/>
          <w:bCs/>
          <w:sz w:val="32"/>
          <w:szCs w:val="32"/>
          <w:lang w:eastAsia="zh-CN"/>
        </w:rPr>
        <w:t>。</w:t>
      </w:r>
    </w:p>
    <w:p w14:paraId="75A6D693">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三）按合同要求提供产品或产品质量不能满足采购技术要求，乙方必须无条件更换产品，提高技术，完善质量，否则，甲方会同监督机构、采购代理机构有权终止合同并对乙方违约行为进行追究，同时按政府采购供应商管理办法进行相应的处罚。</w:t>
      </w:r>
    </w:p>
    <w:p w14:paraId="4BDFD4FD">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（四）任何一方因不可抗力原因不能履行协议时，应尽快通知对方，双方均设法补偿。如仍无法履约协议，可协商延缓或撤销协议，双方责任免除。</w:t>
      </w:r>
    </w:p>
    <w:p w14:paraId="40C51441">
      <w:pPr>
        <w:autoSpaceDE w:val="0"/>
        <w:autoSpaceDN w:val="0"/>
        <w:adjustRightInd w:val="0"/>
        <w:snapToGrid w:val="0"/>
        <w:spacing w:line="360" w:lineRule="auto"/>
        <w:ind w:firstLine="643" w:firstLineChars="200"/>
        <w:rPr>
          <w:rFonts w:hint="eastAsia" w:ascii="仿宋" w:hAnsi="仿宋" w:eastAsia="仿宋" w:cs="仿宋"/>
          <w:bCs/>
          <w:sz w:val="32"/>
          <w:szCs w:val="32"/>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、合同争议解决的方式</w:t>
      </w:r>
    </w:p>
    <w:p w14:paraId="1350BA76">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（一）本合同在履行过程中发生的争议，由甲、乙双方当事人协商解决，协商不成的按下列第</w:t>
      </w:r>
      <w:r>
        <w:rPr>
          <w:rFonts w:hint="eastAsia" w:ascii="仿宋" w:hAnsi="仿宋" w:eastAsia="仿宋" w:cs="仿宋"/>
          <w:bCs/>
          <w:sz w:val="32"/>
          <w:szCs w:val="32"/>
          <w:u w:val="single"/>
        </w:rPr>
        <w:t xml:space="preserve"> 2 </w:t>
      </w:r>
      <w:r>
        <w:rPr>
          <w:rFonts w:hint="eastAsia" w:ascii="仿宋" w:hAnsi="仿宋" w:eastAsia="仿宋" w:cs="仿宋"/>
          <w:bCs/>
          <w:sz w:val="32"/>
          <w:szCs w:val="32"/>
        </w:rPr>
        <w:t>种方式解决：</w:t>
      </w:r>
    </w:p>
    <w:p w14:paraId="76732C89">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1、提交甲方所在地仲裁委员会仲裁；</w:t>
      </w:r>
    </w:p>
    <w:p w14:paraId="42A57E21">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2、依法向甲方所在地人民法院起诉。</w:t>
      </w:r>
    </w:p>
    <w:p w14:paraId="6C6FD41E">
      <w:pPr>
        <w:autoSpaceDE w:val="0"/>
        <w:autoSpaceDN w:val="0"/>
        <w:adjustRightInd w:val="0"/>
        <w:snapToGrid w:val="0"/>
        <w:spacing w:line="360" w:lineRule="auto"/>
        <w:ind w:firstLine="640" w:firstLineChars="200"/>
        <w:rPr>
          <w:rFonts w:hint="eastAsia" w:ascii="仿宋" w:hAnsi="仿宋" w:eastAsia="仿宋" w:cs="仿宋"/>
          <w:bCs/>
          <w:sz w:val="32"/>
          <w:szCs w:val="32"/>
        </w:rPr>
      </w:pPr>
      <w:r>
        <w:rPr>
          <w:rFonts w:hint="eastAsia" w:ascii="仿宋" w:hAnsi="仿宋" w:eastAsia="仿宋" w:cs="仿宋"/>
          <w:bCs/>
          <w:sz w:val="32"/>
          <w:szCs w:val="32"/>
        </w:rPr>
        <w:t>（二）因质量问题发生的争议，由国家权威技术单位进行质量鉴定，该鉴定结论为最终结果，甲乙双方应当接受。</w:t>
      </w:r>
    </w:p>
    <w:p w14:paraId="7DF3AEE9">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十、合同生效</w:t>
      </w:r>
    </w:p>
    <w:p w14:paraId="093DD9E1">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本合同一式肆份，甲方执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份、乙方执</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份。在甲、乙方签字盖章后正式生效。</w:t>
      </w:r>
    </w:p>
    <w:p w14:paraId="1B1EBF2C">
      <w:pPr>
        <w:pStyle w:val="5"/>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（二）合同生效后，甲、乙双方须严格执行本合同条款的规定，全面履行合同，违者按《中华人民共和国民法典》的有关规定承担相应责任。</w:t>
      </w:r>
    </w:p>
    <w:p w14:paraId="11C0DDE2">
      <w:pPr>
        <w:ind w:firstLine="640" w:firstLineChars="200"/>
        <w:rPr>
          <w:rFonts w:hint="eastAsia"/>
          <w:lang w:val="en-US" w:eastAsia="zh-CN"/>
        </w:rPr>
      </w:pPr>
      <w:r>
        <w:rPr>
          <w:rFonts w:hint="eastAsia" w:ascii="仿宋" w:hAnsi="仿宋" w:eastAsia="仿宋" w:cs="仿宋"/>
          <w:kern w:val="2"/>
          <w:sz w:val="32"/>
          <w:szCs w:val="32"/>
          <w:lang w:val="en-US" w:eastAsia="zh-CN" w:bidi="ar-SA"/>
        </w:rPr>
        <w:t>（三）本合同如有未尽事宜，甲、乙双方协商解决。</w:t>
      </w:r>
    </w:p>
    <w:tbl>
      <w:tblPr>
        <w:tblStyle w:val="9"/>
        <w:tblW w:w="9179" w:type="dxa"/>
        <w:jc w:val="center"/>
        <w:tblLayout w:type="fixed"/>
        <w:tblCellMar>
          <w:top w:w="0" w:type="dxa"/>
          <w:left w:w="108" w:type="dxa"/>
          <w:bottom w:w="0" w:type="dxa"/>
          <w:right w:w="108" w:type="dxa"/>
        </w:tblCellMar>
      </w:tblPr>
      <w:tblGrid>
        <w:gridCol w:w="4745"/>
        <w:gridCol w:w="4434"/>
      </w:tblGrid>
      <w:tr w14:paraId="26A10F34">
        <w:tblPrEx>
          <w:tblCellMar>
            <w:top w:w="0" w:type="dxa"/>
            <w:left w:w="108" w:type="dxa"/>
            <w:bottom w:w="0" w:type="dxa"/>
            <w:right w:w="108" w:type="dxa"/>
          </w:tblCellMar>
        </w:tblPrEx>
        <w:trPr>
          <w:trHeight w:val="566" w:hRule="atLeast"/>
          <w:jc w:val="center"/>
        </w:trPr>
        <w:tc>
          <w:tcPr>
            <w:tcW w:w="4745" w:type="dxa"/>
            <w:tcBorders>
              <w:top w:val="single" w:color="auto" w:sz="8" w:space="0"/>
              <w:left w:val="single" w:color="auto" w:sz="8" w:space="0"/>
              <w:bottom w:val="single" w:color="auto" w:sz="8" w:space="0"/>
              <w:right w:val="single" w:color="auto" w:sz="8" w:space="0"/>
            </w:tcBorders>
            <w:vAlign w:val="center"/>
          </w:tcPr>
          <w:p w14:paraId="5294BC3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甲  方</w:t>
            </w:r>
          </w:p>
        </w:tc>
        <w:tc>
          <w:tcPr>
            <w:tcW w:w="4434" w:type="dxa"/>
            <w:tcBorders>
              <w:top w:val="single" w:color="auto" w:sz="8" w:space="0"/>
              <w:left w:val="nil"/>
              <w:bottom w:val="single" w:color="auto" w:sz="8" w:space="0"/>
              <w:right w:val="single" w:color="auto" w:sz="8" w:space="0"/>
            </w:tcBorders>
            <w:vAlign w:val="center"/>
          </w:tcPr>
          <w:p w14:paraId="5A7A12B2">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乙  方</w:t>
            </w:r>
          </w:p>
        </w:tc>
      </w:tr>
      <w:tr w14:paraId="1E5E5B4B">
        <w:tblPrEx>
          <w:tblCellMar>
            <w:top w:w="0" w:type="dxa"/>
            <w:left w:w="108" w:type="dxa"/>
            <w:bottom w:w="0" w:type="dxa"/>
            <w:right w:w="108" w:type="dxa"/>
          </w:tblCellMar>
        </w:tblPrEx>
        <w:trPr>
          <w:trHeight w:val="1558" w:hRule="atLeast"/>
          <w:jc w:val="center"/>
        </w:trPr>
        <w:tc>
          <w:tcPr>
            <w:tcW w:w="4745" w:type="dxa"/>
            <w:tcBorders>
              <w:top w:val="nil"/>
              <w:left w:val="single" w:color="auto" w:sz="8" w:space="0"/>
              <w:bottom w:val="single" w:color="000000" w:sz="8" w:space="0"/>
              <w:right w:val="single" w:color="auto" w:sz="8" w:space="0"/>
            </w:tcBorders>
            <w:vAlign w:val="center"/>
          </w:tcPr>
          <w:p w14:paraId="5144C14D">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（盖章）</w:t>
            </w:r>
          </w:p>
        </w:tc>
        <w:tc>
          <w:tcPr>
            <w:tcW w:w="4434" w:type="dxa"/>
            <w:tcBorders>
              <w:top w:val="nil"/>
              <w:left w:val="nil"/>
              <w:bottom w:val="single" w:color="auto" w:sz="8" w:space="0"/>
              <w:right w:val="single" w:color="auto" w:sz="8" w:space="0"/>
            </w:tcBorders>
            <w:vAlign w:val="center"/>
          </w:tcPr>
          <w:p w14:paraId="7AF36173">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（盖章）</w:t>
            </w:r>
          </w:p>
        </w:tc>
      </w:tr>
      <w:tr w14:paraId="55856A55">
        <w:tblPrEx>
          <w:tblCellMar>
            <w:top w:w="0" w:type="dxa"/>
            <w:left w:w="108" w:type="dxa"/>
            <w:bottom w:w="0" w:type="dxa"/>
            <w:right w:w="108" w:type="dxa"/>
          </w:tblCellMar>
        </w:tblPrEx>
        <w:trPr>
          <w:trHeight w:val="566" w:hRule="atLeast"/>
          <w:jc w:val="center"/>
        </w:trPr>
        <w:tc>
          <w:tcPr>
            <w:tcW w:w="4745" w:type="dxa"/>
            <w:tcBorders>
              <w:top w:val="nil"/>
              <w:left w:val="single" w:color="auto" w:sz="8" w:space="0"/>
              <w:bottom w:val="single" w:color="auto" w:sz="8" w:space="0"/>
              <w:right w:val="single" w:color="auto" w:sz="8" w:space="0"/>
            </w:tcBorders>
            <w:vAlign w:val="center"/>
          </w:tcPr>
          <w:p w14:paraId="6949BD88">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w:t>
            </w:r>
          </w:p>
        </w:tc>
        <w:tc>
          <w:tcPr>
            <w:tcW w:w="4434" w:type="dxa"/>
            <w:tcBorders>
              <w:top w:val="nil"/>
              <w:left w:val="nil"/>
              <w:bottom w:val="single" w:color="auto" w:sz="8" w:space="0"/>
              <w:right w:val="single" w:color="auto" w:sz="8" w:space="0"/>
            </w:tcBorders>
            <w:vAlign w:val="center"/>
          </w:tcPr>
          <w:p w14:paraId="68154F6A">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w:t>
            </w:r>
          </w:p>
        </w:tc>
      </w:tr>
      <w:tr w14:paraId="7AC37C51">
        <w:tblPrEx>
          <w:tblCellMar>
            <w:top w:w="0" w:type="dxa"/>
            <w:left w:w="108" w:type="dxa"/>
            <w:bottom w:w="0" w:type="dxa"/>
            <w:right w:w="108" w:type="dxa"/>
          </w:tblCellMar>
        </w:tblPrEx>
        <w:trPr>
          <w:trHeight w:val="566" w:hRule="atLeast"/>
          <w:jc w:val="center"/>
        </w:trPr>
        <w:tc>
          <w:tcPr>
            <w:tcW w:w="4745" w:type="dxa"/>
            <w:tcBorders>
              <w:top w:val="nil"/>
              <w:left w:val="single" w:color="auto" w:sz="8" w:space="0"/>
              <w:bottom w:val="single" w:color="auto" w:sz="8" w:space="0"/>
              <w:right w:val="single" w:color="auto" w:sz="8" w:space="0"/>
            </w:tcBorders>
            <w:vAlign w:val="center"/>
          </w:tcPr>
          <w:p w14:paraId="3FF9782C">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邮编：</w:t>
            </w:r>
          </w:p>
        </w:tc>
        <w:tc>
          <w:tcPr>
            <w:tcW w:w="4434" w:type="dxa"/>
            <w:tcBorders>
              <w:top w:val="nil"/>
              <w:left w:val="nil"/>
              <w:bottom w:val="single" w:color="auto" w:sz="8" w:space="0"/>
              <w:right w:val="single" w:color="auto" w:sz="8" w:space="0"/>
            </w:tcBorders>
            <w:vAlign w:val="center"/>
          </w:tcPr>
          <w:p w14:paraId="400FB309">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邮编：</w:t>
            </w:r>
          </w:p>
        </w:tc>
      </w:tr>
      <w:tr w14:paraId="6A9B341F">
        <w:tblPrEx>
          <w:tblCellMar>
            <w:top w:w="0" w:type="dxa"/>
            <w:left w:w="108" w:type="dxa"/>
            <w:bottom w:w="0" w:type="dxa"/>
            <w:right w:w="108" w:type="dxa"/>
          </w:tblCellMar>
        </w:tblPrEx>
        <w:trPr>
          <w:trHeight w:val="1439" w:hRule="atLeast"/>
          <w:jc w:val="center"/>
        </w:trPr>
        <w:tc>
          <w:tcPr>
            <w:tcW w:w="4745" w:type="dxa"/>
            <w:tcBorders>
              <w:top w:val="nil"/>
              <w:left w:val="single" w:color="auto" w:sz="8" w:space="0"/>
              <w:bottom w:val="single" w:color="000000" w:sz="8" w:space="0"/>
              <w:right w:val="single" w:color="auto" w:sz="8" w:space="0"/>
            </w:tcBorders>
            <w:vAlign w:val="center"/>
          </w:tcPr>
          <w:p w14:paraId="4ACCEDBE">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法定代表人或授权</w:t>
            </w:r>
            <w:r>
              <w:rPr>
                <w:rFonts w:hint="eastAsia" w:ascii="仿宋" w:hAnsi="仿宋" w:eastAsia="仿宋" w:cs="仿宋"/>
                <w:kern w:val="0"/>
                <w:sz w:val="32"/>
                <w:szCs w:val="32"/>
              </w:rPr>
              <w:t>代表：</w:t>
            </w:r>
          </w:p>
          <w:p w14:paraId="64269721">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（签字</w:t>
            </w:r>
            <w:r>
              <w:rPr>
                <w:rFonts w:hint="eastAsia" w:ascii="仿宋" w:hAnsi="仿宋" w:eastAsia="仿宋" w:cs="仿宋"/>
                <w:kern w:val="0"/>
                <w:sz w:val="32"/>
                <w:szCs w:val="32"/>
                <w:lang w:val="en-US" w:eastAsia="zh-CN"/>
              </w:rPr>
              <w:t>或盖章</w:t>
            </w:r>
            <w:r>
              <w:rPr>
                <w:rFonts w:hint="eastAsia" w:ascii="仿宋" w:hAnsi="仿宋" w:eastAsia="仿宋" w:cs="仿宋"/>
                <w:kern w:val="0"/>
                <w:sz w:val="32"/>
                <w:szCs w:val="32"/>
              </w:rPr>
              <w:t>）</w:t>
            </w:r>
          </w:p>
        </w:tc>
        <w:tc>
          <w:tcPr>
            <w:tcW w:w="4434" w:type="dxa"/>
            <w:tcBorders>
              <w:top w:val="nil"/>
              <w:left w:val="nil"/>
              <w:bottom w:val="single" w:color="auto" w:sz="8" w:space="0"/>
              <w:right w:val="single" w:color="auto" w:sz="8" w:space="0"/>
            </w:tcBorders>
            <w:vAlign w:val="center"/>
          </w:tcPr>
          <w:p w14:paraId="34C03B03">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法定代表人</w:t>
            </w:r>
            <w:r>
              <w:rPr>
                <w:rFonts w:hint="eastAsia" w:ascii="仿宋" w:hAnsi="仿宋" w:eastAsia="仿宋" w:cs="仿宋"/>
                <w:kern w:val="0"/>
                <w:sz w:val="32"/>
                <w:szCs w:val="32"/>
                <w:lang w:val="en-US" w:eastAsia="zh-CN"/>
              </w:rPr>
              <w:t>或</w:t>
            </w:r>
            <w:r>
              <w:rPr>
                <w:rFonts w:hint="eastAsia" w:ascii="仿宋" w:hAnsi="仿宋" w:eastAsia="仿宋" w:cs="仿宋"/>
                <w:kern w:val="0"/>
                <w:sz w:val="32"/>
                <w:szCs w:val="32"/>
              </w:rPr>
              <w:t>授权代表：</w:t>
            </w:r>
          </w:p>
          <w:p w14:paraId="60E469E2">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（签字</w:t>
            </w:r>
            <w:r>
              <w:rPr>
                <w:rFonts w:hint="eastAsia" w:ascii="仿宋" w:hAnsi="仿宋" w:eastAsia="仿宋" w:cs="仿宋"/>
                <w:kern w:val="0"/>
                <w:sz w:val="32"/>
                <w:szCs w:val="32"/>
                <w:lang w:val="en-US" w:eastAsia="zh-CN"/>
              </w:rPr>
              <w:t>或盖章</w:t>
            </w:r>
            <w:r>
              <w:rPr>
                <w:rFonts w:hint="eastAsia" w:ascii="仿宋" w:hAnsi="仿宋" w:eastAsia="仿宋" w:cs="仿宋"/>
                <w:kern w:val="0"/>
                <w:sz w:val="32"/>
                <w:szCs w:val="32"/>
              </w:rPr>
              <w:t>）</w:t>
            </w:r>
          </w:p>
        </w:tc>
      </w:tr>
      <w:tr w14:paraId="00015837">
        <w:tblPrEx>
          <w:tblCellMar>
            <w:top w:w="0" w:type="dxa"/>
            <w:left w:w="108" w:type="dxa"/>
            <w:bottom w:w="0" w:type="dxa"/>
            <w:right w:w="108" w:type="dxa"/>
          </w:tblCellMar>
        </w:tblPrEx>
        <w:trPr>
          <w:trHeight w:val="566" w:hRule="atLeast"/>
          <w:jc w:val="center"/>
        </w:trPr>
        <w:tc>
          <w:tcPr>
            <w:tcW w:w="4745" w:type="dxa"/>
            <w:tcBorders>
              <w:top w:val="nil"/>
              <w:left w:val="single" w:color="auto" w:sz="8" w:space="0"/>
              <w:bottom w:val="single" w:color="auto" w:sz="8" w:space="0"/>
              <w:right w:val="single" w:color="auto" w:sz="8" w:space="0"/>
            </w:tcBorders>
            <w:vAlign w:val="center"/>
          </w:tcPr>
          <w:p w14:paraId="2492C9CD">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电话：</w:t>
            </w:r>
          </w:p>
        </w:tc>
        <w:tc>
          <w:tcPr>
            <w:tcW w:w="4434" w:type="dxa"/>
            <w:tcBorders>
              <w:top w:val="nil"/>
              <w:left w:val="nil"/>
              <w:bottom w:val="single" w:color="auto" w:sz="8" w:space="0"/>
              <w:right w:val="single" w:color="auto" w:sz="8" w:space="0"/>
            </w:tcBorders>
            <w:vAlign w:val="center"/>
          </w:tcPr>
          <w:p w14:paraId="00F6575D">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电话：</w:t>
            </w:r>
          </w:p>
        </w:tc>
      </w:tr>
      <w:tr w14:paraId="40030DBF">
        <w:tblPrEx>
          <w:tblCellMar>
            <w:top w:w="0" w:type="dxa"/>
            <w:left w:w="108" w:type="dxa"/>
            <w:bottom w:w="0" w:type="dxa"/>
            <w:right w:w="108" w:type="dxa"/>
          </w:tblCellMar>
        </w:tblPrEx>
        <w:trPr>
          <w:trHeight w:val="566" w:hRule="atLeast"/>
          <w:jc w:val="center"/>
        </w:trPr>
        <w:tc>
          <w:tcPr>
            <w:tcW w:w="4745" w:type="dxa"/>
            <w:vMerge w:val="restart"/>
            <w:tcBorders>
              <w:top w:val="nil"/>
              <w:left w:val="single" w:color="auto" w:sz="8" w:space="0"/>
              <w:bottom w:val="single" w:color="000000" w:sz="8" w:space="0"/>
              <w:right w:val="single" w:color="auto" w:sz="8" w:space="0"/>
            </w:tcBorders>
            <w:vAlign w:val="center"/>
          </w:tcPr>
          <w:p w14:paraId="62F1C7D0">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传真：</w:t>
            </w:r>
          </w:p>
        </w:tc>
        <w:tc>
          <w:tcPr>
            <w:tcW w:w="4434" w:type="dxa"/>
            <w:tcBorders>
              <w:top w:val="nil"/>
              <w:left w:val="nil"/>
              <w:bottom w:val="single" w:color="auto" w:sz="8" w:space="0"/>
              <w:right w:val="single" w:color="auto" w:sz="8" w:space="0"/>
            </w:tcBorders>
            <w:vAlign w:val="center"/>
          </w:tcPr>
          <w:p w14:paraId="4CF2C41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传真：</w:t>
            </w:r>
          </w:p>
        </w:tc>
      </w:tr>
      <w:tr w14:paraId="6DFC7540">
        <w:tblPrEx>
          <w:tblCellMar>
            <w:top w:w="0" w:type="dxa"/>
            <w:left w:w="108" w:type="dxa"/>
            <w:bottom w:w="0" w:type="dxa"/>
            <w:right w:w="108" w:type="dxa"/>
          </w:tblCellMar>
        </w:tblPrEx>
        <w:trPr>
          <w:trHeight w:val="566" w:hRule="atLeast"/>
          <w:jc w:val="center"/>
        </w:trPr>
        <w:tc>
          <w:tcPr>
            <w:tcW w:w="4745" w:type="dxa"/>
            <w:vMerge w:val="continue"/>
            <w:tcBorders>
              <w:top w:val="nil"/>
              <w:left w:val="single" w:color="auto" w:sz="8" w:space="0"/>
              <w:bottom w:val="single" w:color="000000" w:sz="8" w:space="0"/>
              <w:right w:val="single" w:color="auto" w:sz="8" w:space="0"/>
            </w:tcBorders>
            <w:vAlign w:val="center"/>
          </w:tcPr>
          <w:p w14:paraId="5A19F635">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p>
        </w:tc>
        <w:tc>
          <w:tcPr>
            <w:tcW w:w="4434" w:type="dxa"/>
            <w:tcBorders>
              <w:top w:val="nil"/>
              <w:left w:val="nil"/>
              <w:bottom w:val="single" w:color="auto" w:sz="8" w:space="0"/>
              <w:right w:val="single" w:color="auto" w:sz="8" w:space="0"/>
            </w:tcBorders>
            <w:vAlign w:val="center"/>
          </w:tcPr>
          <w:p w14:paraId="4D28F48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开户银行：</w:t>
            </w:r>
          </w:p>
        </w:tc>
      </w:tr>
      <w:tr w14:paraId="25265D03">
        <w:tblPrEx>
          <w:tblCellMar>
            <w:top w:w="0" w:type="dxa"/>
            <w:left w:w="108" w:type="dxa"/>
            <w:bottom w:w="0" w:type="dxa"/>
            <w:right w:w="108" w:type="dxa"/>
          </w:tblCellMar>
        </w:tblPrEx>
        <w:trPr>
          <w:trHeight w:val="566" w:hRule="atLeast"/>
          <w:jc w:val="center"/>
        </w:trPr>
        <w:tc>
          <w:tcPr>
            <w:tcW w:w="4745" w:type="dxa"/>
            <w:vMerge w:val="continue"/>
            <w:tcBorders>
              <w:top w:val="nil"/>
              <w:left w:val="single" w:color="auto" w:sz="8" w:space="0"/>
              <w:bottom w:val="single" w:color="000000" w:sz="8" w:space="0"/>
              <w:right w:val="single" w:color="auto" w:sz="8" w:space="0"/>
            </w:tcBorders>
            <w:vAlign w:val="center"/>
          </w:tcPr>
          <w:p w14:paraId="665EF511">
            <w:pPr>
              <w:keepNext w:val="0"/>
              <w:keepLines w:val="0"/>
              <w:pageBreakBefore w:val="0"/>
              <w:kinsoku/>
              <w:wordWrap/>
              <w:overflowPunct/>
              <w:topLinePunct w:val="0"/>
              <w:autoSpaceDE/>
              <w:autoSpaceDN/>
              <w:bidi w:val="0"/>
              <w:adjustRightInd/>
              <w:snapToGrid/>
              <w:spacing w:line="420" w:lineRule="exact"/>
              <w:ind w:firstLine="640" w:firstLineChars="200"/>
              <w:textAlignment w:val="auto"/>
              <w:rPr>
                <w:rFonts w:hint="eastAsia" w:ascii="仿宋" w:hAnsi="仿宋" w:eastAsia="仿宋" w:cs="仿宋"/>
                <w:kern w:val="0"/>
                <w:sz w:val="32"/>
                <w:szCs w:val="32"/>
              </w:rPr>
            </w:pPr>
          </w:p>
        </w:tc>
        <w:tc>
          <w:tcPr>
            <w:tcW w:w="4434" w:type="dxa"/>
            <w:tcBorders>
              <w:top w:val="nil"/>
              <w:left w:val="nil"/>
              <w:bottom w:val="single" w:color="auto" w:sz="8" w:space="0"/>
              <w:right w:val="single" w:color="auto" w:sz="8" w:space="0"/>
            </w:tcBorders>
            <w:vAlign w:val="center"/>
          </w:tcPr>
          <w:p w14:paraId="2B626528">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账号:</w:t>
            </w:r>
          </w:p>
        </w:tc>
      </w:tr>
      <w:tr w14:paraId="23788CE4">
        <w:tblPrEx>
          <w:tblCellMar>
            <w:top w:w="0" w:type="dxa"/>
            <w:left w:w="108" w:type="dxa"/>
            <w:bottom w:w="0" w:type="dxa"/>
            <w:right w:w="108" w:type="dxa"/>
          </w:tblCellMar>
        </w:tblPrEx>
        <w:trPr>
          <w:trHeight w:val="592" w:hRule="atLeast"/>
          <w:jc w:val="center"/>
        </w:trPr>
        <w:tc>
          <w:tcPr>
            <w:tcW w:w="4745" w:type="dxa"/>
            <w:tcBorders>
              <w:top w:val="nil"/>
              <w:left w:val="single" w:color="auto" w:sz="8" w:space="0"/>
              <w:bottom w:val="single" w:color="auto" w:sz="8" w:space="0"/>
              <w:right w:val="single" w:color="auto" w:sz="8" w:space="0"/>
            </w:tcBorders>
            <w:vAlign w:val="center"/>
          </w:tcPr>
          <w:p w14:paraId="42F73E0C">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日期：     年   月   日</w:t>
            </w:r>
          </w:p>
        </w:tc>
        <w:tc>
          <w:tcPr>
            <w:tcW w:w="4434" w:type="dxa"/>
            <w:tcBorders>
              <w:top w:val="nil"/>
              <w:left w:val="nil"/>
              <w:bottom w:val="single" w:color="auto" w:sz="8" w:space="0"/>
              <w:right w:val="single" w:color="auto" w:sz="8" w:space="0"/>
            </w:tcBorders>
            <w:vAlign w:val="center"/>
          </w:tcPr>
          <w:p w14:paraId="6B92FDC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32"/>
                <w:szCs w:val="32"/>
              </w:rPr>
            </w:pPr>
            <w:r>
              <w:rPr>
                <w:rFonts w:hint="eastAsia" w:ascii="仿宋" w:hAnsi="仿宋" w:eastAsia="仿宋" w:cs="仿宋"/>
                <w:kern w:val="0"/>
                <w:sz w:val="32"/>
                <w:szCs w:val="32"/>
              </w:rPr>
              <w:t>日期：     年   月   日</w:t>
            </w:r>
          </w:p>
        </w:tc>
      </w:tr>
    </w:tbl>
    <w:p w14:paraId="032CEA67"/>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汉仪中黑简">
    <w:altName w:val="黑体"/>
    <w:panose1 w:val="00000000000000000000"/>
    <w:charset w:val="00"/>
    <w:family w:val="roman"/>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A2F9B"/>
    <w:rsid w:val="045A1E6C"/>
    <w:rsid w:val="19FA2F9B"/>
    <w:rsid w:val="1ED60FD1"/>
    <w:rsid w:val="2B644738"/>
    <w:rsid w:val="3B8E0546"/>
    <w:rsid w:val="5946046A"/>
    <w:rsid w:val="6EDD1718"/>
    <w:rsid w:val="74FE034B"/>
    <w:rsid w:val="785E3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center"/>
      <w:outlineLvl w:val="0"/>
    </w:pPr>
    <w:rPr>
      <w:rFonts w:hint="eastAsia" w:ascii="宋体" w:hAnsi="宋体" w:eastAsia="仿宋" w:cs="宋体"/>
      <w:b/>
      <w:bCs/>
      <w:kern w:val="44"/>
      <w:sz w:val="44"/>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432" w:lineRule="auto"/>
      <w:outlineLvl w:val="1"/>
    </w:pPr>
    <w:rPr>
      <w:rFonts w:ascii="Arial" w:hAnsi="Arial" w:eastAsia="仿宋"/>
      <w:b/>
      <w:sz w:val="36"/>
    </w:rPr>
  </w:style>
  <w:style w:type="paragraph" w:styleId="4">
    <w:name w:val="heading 3"/>
    <w:basedOn w:val="1"/>
    <w:next w:val="1"/>
    <w:semiHidden/>
    <w:unhideWhenUsed/>
    <w:qFormat/>
    <w:uiPriority w:val="0"/>
    <w:pPr>
      <w:keepNext/>
      <w:keepLines/>
      <w:adjustRightInd w:val="0"/>
      <w:snapToGrid w:val="0"/>
      <w:spacing w:beforeLines="0" w:beforeAutospacing="0" w:afterLines="0" w:afterAutospacing="0" w:line="240" w:lineRule="auto"/>
      <w:outlineLvl w:val="2"/>
    </w:pPr>
    <w:rPr>
      <w:rFonts w:eastAsia="仿宋" w:asciiTheme="minorAscii" w:hAnsiTheme="minorAscii"/>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Plain Text"/>
    <w:basedOn w:val="1"/>
    <w:qFormat/>
    <w:uiPriority w:val="99"/>
    <w:rPr>
      <w:rFonts w:ascii="宋体" w:hAnsi="Courier New"/>
      <w:szCs w:val="21"/>
    </w:rPr>
  </w:style>
  <w:style w:type="paragraph" w:styleId="8">
    <w:name w:val="Body Text First Indent 2"/>
    <w:basedOn w:val="6"/>
    <w:qFormat/>
    <w:uiPriority w:val="0"/>
    <w:pPr>
      <w:spacing w:after="120" w:line="240" w:lineRule="auto"/>
      <w:ind w:left="420" w:leftChars="200" w:firstLine="420" w:firstLineChars="200"/>
    </w:pPr>
    <w:rPr>
      <w:rFonts w:ascii="Times New Roman"/>
      <w:sz w:val="21"/>
    </w:rPr>
  </w:style>
  <w:style w:type="paragraph" w:customStyle="1" w:styleId="11">
    <w:name w:val="Default"/>
    <w:qFormat/>
    <w:uiPriority w:val="99"/>
    <w:pPr>
      <w:widowControl w:val="0"/>
      <w:autoSpaceDE w:val="0"/>
      <w:autoSpaceDN w:val="0"/>
      <w:adjustRightInd w:val="0"/>
    </w:pPr>
    <w:rPr>
      <w:rFonts w:ascii="汉仪中黑简" w:hAnsi="Times New Roman" w:eastAsia="汉仪中黑简" w:cs="汉仪中黑简"/>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524</Words>
  <Characters>543</Characters>
  <Lines>0</Lines>
  <Paragraphs>0</Paragraphs>
  <TotalTime>1</TotalTime>
  <ScaleCrop>false</ScaleCrop>
  <LinksUpToDate>false</LinksUpToDate>
  <CharactersWithSpaces>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2026-08-12T08:40:00Z</dcterms:created>
  <dc:creator>WPS_1710749217</dc:creator>
  <cp:lastModifiedBy>WPS_1710749217</cp:lastModifiedBy>
  <dcterms:modified xsi:type="dcterms:W3CDTF">2026-08-13T03:46:25Z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1E247558BECD457F87833F7D09EBD899_11</vt:lpwstr>
  </property>
  <property fmtid="{D5CDD505-2E9C-101B-9397-08002B2CF9AE}" pid="4" name="KSOTemplateDocerSaveRecord">
    <vt:lpwstr>eyJoZGlkIjoiMTQ5NTE4MjJhZjdlZmQyY2EwMTc5ZTcxY2RkOTU5NmYiLCJ1c2VySWQiOiIxNTg3MTU2NTg1In0=</vt:lpwstr>
  </property>
</Properties>
</file>